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jpeg" ContentType="image/jpeg"/>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pPr>
    </w:p>
    <w:p>
      <w:pPr>
        <w:pStyle w:val="BodyText"/>
      </w:pPr>
    </w:p>
    <w:p>
      <w:pPr>
        <w:pStyle w:val="BodyText"/>
        <w:spacing w:before="50"/>
      </w:pPr>
    </w:p>
    <w:p>
      <w:pPr>
        <w:pStyle w:val="Heading1"/>
        <w:spacing w:line="360" w:lineRule="auto"/>
        <w:ind w:left="810" w:right="381"/>
        <w:jc w:val="center"/>
      </w:pPr>
      <w:bookmarkStart w:name="PENGARUH PROFITABILITAS, LIKUIDITAS, SOL" w:id="1"/>
      <w:bookmarkEnd w:id="1"/>
      <w:r>
        <w:rPr>
          <w:b w:val="0"/>
        </w:rPr>
      </w:r>
      <w:r>
        <w:rPr>
          <w:spacing w:val="-2"/>
        </w:rPr>
        <w:t>PENGARUH</w:t>
      </w:r>
      <w:r>
        <w:rPr>
          <w:spacing w:val="-21"/>
        </w:rPr>
        <w:t> </w:t>
      </w:r>
      <w:r>
        <w:rPr>
          <w:spacing w:val="-2"/>
        </w:rPr>
        <w:t>PROFITABILITAS,</w:t>
      </w:r>
      <w:r>
        <w:rPr>
          <w:spacing w:val="-17"/>
        </w:rPr>
        <w:t> </w:t>
      </w:r>
      <w:r>
        <w:rPr>
          <w:spacing w:val="-2"/>
        </w:rPr>
        <w:t>LIKUIDITAS,</w:t>
      </w:r>
      <w:r>
        <w:rPr>
          <w:spacing w:val="-17"/>
        </w:rPr>
        <w:t> </w:t>
      </w:r>
      <w:r>
        <w:rPr>
          <w:spacing w:val="-2"/>
        </w:rPr>
        <w:t>SOLVABILITAS,</w:t>
      </w:r>
      <w:r>
        <w:rPr>
          <w:spacing w:val="-17"/>
        </w:rPr>
        <w:t> </w:t>
      </w:r>
      <w:r>
        <w:rPr>
          <w:spacing w:val="-2"/>
        </w:rPr>
        <w:t>DAN </w:t>
      </w:r>
      <w:r>
        <w:rPr/>
        <w:t>PERTUMBUHAN ASET TERHADAP NILAI PERUSAHAAN </w:t>
      </w:r>
      <w:r>
        <w:rPr>
          <w:spacing w:val="-2"/>
        </w:rPr>
        <w:t>TELEKOMUNIKASI</w:t>
      </w:r>
    </w:p>
    <w:p>
      <w:pPr>
        <w:pStyle w:val="BodyText"/>
        <w:spacing w:before="20"/>
        <w:rPr>
          <w:b/>
        </w:rPr>
      </w:pPr>
    </w:p>
    <w:p>
      <w:pPr>
        <w:pStyle w:val="Heading2"/>
        <w:spacing w:before="1"/>
        <w:ind w:left="3181" w:right="2749" w:hanging="2"/>
        <w:jc w:val="center"/>
      </w:pPr>
      <w:bookmarkStart w:name="Yulianti Tan " w:id="2"/>
      <w:bookmarkEnd w:id="2"/>
      <w:r>
        <w:rPr>
          <w:b w:val="0"/>
        </w:rPr>
      </w:r>
      <w:r>
        <w:rPr/>
        <w:t>Yulianti Tan </w:t>
      </w:r>
      <w:hyperlink r:id="rId7">
        <w:r>
          <w:rPr>
            <w:color w:val="0561C1"/>
            <w:spacing w:val="-4"/>
            <w:u w:val="thick" w:color="0561C1"/>
          </w:rPr>
          <w:t>yuliantitan878@gmail.com</w:t>
        </w:r>
      </w:hyperlink>
    </w:p>
    <w:p>
      <w:pPr>
        <w:spacing w:before="230"/>
        <w:ind w:left="3452" w:right="3020" w:hanging="5"/>
        <w:jc w:val="center"/>
        <w:rPr>
          <w:b/>
          <w:sz w:val="24"/>
        </w:rPr>
      </w:pPr>
      <w:r>
        <w:rPr>
          <w:b/>
          <w:sz w:val="24"/>
        </w:rPr>
        <w:t>Dewi Sri </w:t>
      </w:r>
      <w:hyperlink r:id="rId8">
        <w:r>
          <w:rPr>
            <w:b/>
            <w:color w:val="0561C1"/>
            <w:spacing w:val="-4"/>
            <w:sz w:val="24"/>
            <w:u w:val="thick" w:color="0561C1"/>
          </w:rPr>
          <w:t>dewi_sri@ukmc.ac.id</w:t>
        </w:r>
      </w:hyperlink>
    </w:p>
    <w:p>
      <w:pPr>
        <w:pStyle w:val="BodyText"/>
        <w:spacing w:before="160"/>
        <w:rPr>
          <w:b/>
          <w:sz w:val="20"/>
        </w:rPr>
      </w:pPr>
    </w:p>
    <w:p>
      <w:pPr>
        <w:spacing w:before="0"/>
        <w:ind w:left="424" w:right="0" w:firstLine="0"/>
        <w:jc w:val="center"/>
        <w:rPr>
          <w:b/>
          <w:sz w:val="20"/>
        </w:rPr>
      </w:pPr>
      <w:r>
        <w:rPr>
          <w:b/>
          <w:spacing w:val="-2"/>
          <w:sz w:val="20"/>
        </w:rPr>
        <w:t>ABSTRACT</w:t>
      </w:r>
    </w:p>
    <w:p>
      <w:pPr>
        <w:spacing w:before="162"/>
        <w:ind w:left="568" w:right="135" w:firstLine="0"/>
        <w:jc w:val="both"/>
        <w:rPr>
          <w:i/>
          <w:sz w:val="20"/>
        </w:rPr>
      </w:pPr>
      <w:r>
        <w:rPr>
          <w:i/>
          <w:sz w:val="20"/>
        </w:rPr>
        <w:t>This study aims to analyze the effect of profitability, liquidity, solvency, and asset growth on company value in telecommunications companies listed on the Indonesia Stock Exchange (IDX)</w:t>
      </w:r>
      <w:r>
        <w:rPr>
          <w:i/>
          <w:spacing w:val="40"/>
          <w:sz w:val="20"/>
        </w:rPr>
        <w:t> </w:t>
      </w:r>
      <w:r>
        <w:rPr>
          <w:i/>
          <w:sz w:val="20"/>
        </w:rPr>
        <w:t>for</w:t>
      </w:r>
      <w:r>
        <w:rPr>
          <w:i/>
          <w:spacing w:val="-4"/>
          <w:sz w:val="20"/>
        </w:rPr>
        <w:t> </w:t>
      </w:r>
      <w:r>
        <w:rPr>
          <w:i/>
          <w:sz w:val="20"/>
        </w:rPr>
        <w:t>the</w:t>
      </w:r>
      <w:r>
        <w:rPr>
          <w:i/>
          <w:spacing w:val="-3"/>
          <w:sz w:val="20"/>
        </w:rPr>
        <w:t> </w:t>
      </w:r>
      <w:r>
        <w:rPr>
          <w:i/>
          <w:sz w:val="20"/>
        </w:rPr>
        <w:t>period</w:t>
      </w:r>
      <w:r>
        <w:rPr>
          <w:i/>
          <w:spacing w:val="-4"/>
          <w:sz w:val="20"/>
        </w:rPr>
        <w:t> </w:t>
      </w:r>
      <w:r>
        <w:rPr>
          <w:i/>
          <w:sz w:val="20"/>
        </w:rPr>
        <w:t>2020–2024.</w:t>
      </w:r>
      <w:r>
        <w:rPr>
          <w:i/>
          <w:spacing w:val="-2"/>
          <w:sz w:val="20"/>
        </w:rPr>
        <w:t> </w:t>
      </w:r>
      <w:r>
        <w:rPr>
          <w:i/>
          <w:sz w:val="20"/>
        </w:rPr>
        <w:t>Company</w:t>
      </w:r>
      <w:r>
        <w:rPr>
          <w:i/>
          <w:spacing w:val="-5"/>
          <w:sz w:val="20"/>
        </w:rPr>
        <w:t> </w:t>
      </w:r>
      <w:r>
        <w:rPr>
          <w:i/>
          <w:sz w:val="20"/>
        </w:rPr>
        <w:t>value</w:t>
      </w:r>
      <w:r>
        <w:rPr>
          <w:i/>
          <w:spacing w:val="-5"/>
          <w:sz w:val="20"/>
        </w:rPr>
        <w:t> </w:t>
      </w:r>
      <w:r>
        <w:rPr>
          <w:i/>
          <w:sz w:val="20"/>
        </w:rPr>
        <w:t>is</w:t>
      </w:r>
      <w:r>
        <w:rPr>
          <w:i/>
          <w:spacing w:val="-1"/>
          <w:sz w:val="20"/>
        </w:rPr>
        <w:t> </w:t>
      </w:r>
      <w:r>
        <w:rPr>
          <w:i/>
          <w:sz w:val="20"/>
        </w:rPr>
        <w:t>measured</w:t>
      </w:r>
      <w:r>
        <w:rPr>
          <w:i/>
          <w:spacing w:val="-2"/>
          <w:sz w:val="20"/>
        </w:rPr>
        <w:t> </w:t>
      </w:r>
      <w:r>
        <w:rPr>
          <w:i/>
          <w:sz w:val="20"/>
        </w:rPr>
        <w:t>using</w:t>
      </w:r>
      <w:r>
        <w:rPr>
          <w:i/>
          <w:spacing w:val="-4"/>
          <w:sz w:val="20"/>
        </w:rPr>
        <w:t> </w:t>
      </w:r>
      <w:r>
        <w:rPr>
          <w:i/>
          <w:sz w:val="20"/>
        </w:rPr>
        <w:t>Price to</w:t>
      </w:r>
      <w:r>
        <w:rPr>
          <w:i/>
          <w:spacing w:val="-2"/>
          <w:sz w:val="20"/>
        </w:rPr>
        <w:t> </w:t>
      </w:r>
      <w:r>
        <w:rPr>
          <w:i/>
          <w:sz w:val="20"/>
        </w:rPr>
        <w:t>Book</w:t>
      </w:r>
      <w:r>
        <w:rPr>
          <w:i/>
          <w:spacing w:val="-5"/>
          <w:sz w:val="20"/>
        </w:rPr>
        <w:t> </w:t>
      </w:r>
      <w:r>
        <w:rPr>
          <w:i/>
          <w:sz w:val="20"/>
        </w:rPr>
        <w:t>Value</w:t>
      </w:r>
      <w:r>
        <w:rPr>
          <w:i/>
          <w:spacing w:val="-5"/>
          <w:sz w:val="20"/>
        </w:rPr>
        <w:t> </w:t>
      </w:r>
      <w:r>
        <w:rPr>
          <w:i/>
          <w:sz w:val="20"/>
        </w:rPr>
        <w:t>(PBV), while the independent variables include Return on Assets (ROA), Current Ratio (CR), Debt to Equity Ratio (DER), and asset growth. This study uses a quantitative method with purposive sampling techniques on 16 companies. Data analysis was performed using multiple linear regression with the bootstrapping method. The results showed that liquidity had a significant negative effect and solvency had a significant positive effect on company value, while profitability and asset growth had no significant effect.</w:t>
      </w:r>
    </w:p>
    <w:p>
      <w:pPr>
        <w:spacing w:before="229"/>
        <w:ind w:left="568" w:right="0" w:firstLine="0"/>
        <w:jc w:val="both"/>
        <w:rPr>
          <w:i/>
          <w:sz w:val="20"/>
        </w:rPr>
      </w:pPr>
      <w:r>
        <w:rPr>
          <w:i/>
          <w:spacing w:val="-2"/>
          <w:sz w:val="20"/>
        </w:rPr>
        <w:t>Keywords:</w:t>
      </w:r>
      <w:r>
        <w:rPr>
          <w:i/>
          <w:spacing w:val="-11"/>
          <w:sz w:val="20"/>
        </w:rPr>
        <w:t> </w:t>
      </w:r>
      <w:r>
        <w:rPr>
          <w:i/>
          <w:spacing w:val="-2"/>
          <w:sz w:val="20"/>
        </w:rPr>
        <w:t>Profitability,</w:t>
      </w:r>
      <w:r>
        <w:rPr>
          <w:i/>
          <w:spacing w:val="-10"/>
          <w:sz w:val="20"/>
        </w:rPr>
        <w:t> </w:t>
      </w:r>
      <w:r>
        <w:rPr>
          <w:i/>
          <w:spacing w:val="-2"/>
          <w:sz w:val="20"/>
        </w:rPr>
        <w:t>Liquidity,</w:t>
      </w:r>
      <w:r>
        <w:rPr>
          <w:i/>
          <w:spacing w:val="-10"/>
          <w:sz w:val="20"/>
        </w:rPr>
        <w:t> </w:t>
      </w:r>
      <w:r>
        <w:rPr>
          <w:i/>
          <w:spacing w:val="-2"/>
          <w:sz w:val="20"/>
        </w:rPr>
        <w:t>Solvency,</w:t>
      </w:r>
      <w:r>
        <w:rPr>
          <w:i/>
          <w:spacing w:val="-10"/>
          <w:sz w:val="20"/>
        </w:rPr>
        <w:t> </w:t>
      </w:r>
      <w:r>
        <w:rPr>
          <w:i/>
          <w:spacing w:val="-2"/>
          <w:sz w:val="20"/>
        </w:rPr>
        <w:t>Asset</w:t>
      </w:r>
      <w:r>
        <w:rPr>
          <w:i/>
          <w:spacing w:val="-9"/>
          <w:sz w:val="20"/>
        </w:rPr>
        <w:t> </w:t>
      </w:r>
      <w:r>
        <w:rPr>
          <w:i/>
          <w:spacing w:val="-2"/>
          <w:sz w:val="20"/>
        </w:rPr>
        <w:t>Growth,</w:t>
      </w:r>
      <w:r>
        <w:rPr>
          <w:i/>
          <w:spacing w:val="-3"/>
          <w:sz w:val="20"/>
        </w:rPr>
        <w:t> </w:t>
      </w:r>
      <w:r>
        <w:rPr>
          <w:i/>
          <w:spacing w:val="-2"/>
          <w:sz w:val="20"/>
        </w:rPr>
        <w:t>Company</w:t>
      </w:r>
      <w:r>
        <w:rPr>
          <w:i/>
          <w:spacing w:val="-8"/>
          <w:sz w:val="20"/>
        </w:rPr>
        <w:t> </w:t>
      </w:r>
      <w:r>
        <w:rPr>
          <w:i/>
          <w:spacing w:val="-2"/>
          <w:sz w:val="20"/>
        </w:rPr>
        <w:t>Value.</w:t>
      </w:r>
    </w:p>
    <w:p>
      <w:pPr>
        <w:pStyle w:val="BodyText"/>
        <w:spacing w:before="159"/>
        <w:rPr>
          <w:i/>
          <w:sz w:val="20"/>
        </w:rPr>
      </w:pPr>
    </w:p>
    <w:p>
      <w:pPr>
        <w:spacing w:before="0"/>
        <w:ind w:left="422" w:right="0" w:firstLine="0"/>
        <w:jc w:val="center"/>
        <w:rPr>
          <w:b/>
          <w:sz w:val="20"/>
        </w:rPr>
      </w:pPr>
      <w:r>
        <w:rPr>
          <w:b/>
          <w:spacing w:val="-2"/>
          <w:sz w:val="20"/>
        </w:rPr>
        <w:t>ABSTRAKSI</w:t>
      </w:r>
    </w:p>
    <w:p>
      <w:pPr>
        <w:spacing w:before="161"/>
        <w:ind w:left="568" w:right="135" w:firstLine="0"/>
        <w:jc w:val="both"/>
        <w:rPr>
          <w:sz w:val="20"/>
        </w:rPr>
      </w:pPr>
      <w:r>
        <w:rPr>
          <w:sz w:val="20"/>
        </w:rPr>
        <w:t>Penelitian ini bertujuan untuk mengetahui pengaruh profitabilitas, likuiditas, solvabilitas, dan pertumbuhan aset terhadap nilai perusahaan pada perusahaan industri telekomunikasi yang</w:t>
      </w:r>
      <w:r>
        <w:rPr>
          <w:spacing w:val="40"/>
          <w:sz w:val="20"/>
        </w:rPr>
        <w:t> </w:t>
      </w:r>
      <w:r>
        <w:rPr>
          <w:sz w:val="20"/>
        </w:rPr>
        <w:t>terdaftar</w:t>
      </w:r>
      <w:r>
        <w:rPr>
          <w:spacing w:val="-1"/>
          <w:sz w:val="20"/>
        </w:rPr>
        <w:t> </w:t>
      </w:r>
      <w:r>
        <w:rPr>
          <w:sz w:val="20"/>
        </w:rPr>
        <w:t>di Bursa Efek Indonesia (BEI)</w:t>
      </w:r>
      <w:r>
        <w:rPr>
          <w:spacing w:val="-1"/>
          <w:sz w:val="20"/>
        </w:rPr>
        <w:t> </w:t>
      </w:r>
      <w:r>
        <w:rPr>
          <w:sz w:val="20"/>
        </w:rPr>
        <w:t>periode</w:t>
      </w:r>
      <w:r>
        <w:rPr>
          <w:spacing w:val="-1"/>
          <w:sz w:val="20"/>
        </w:rPr>
        <w:t> </w:t>
      </w:r>
      <w:r>
        <w:rPr>
          <w:sz w:val="20"/>
        </w:rPr>
        <w:t>2020–2024.</w:t>
      </w:r>
      <w:r>
        <w:rPr>
          <w:spacing w:val="-1"/>
          <w:sz w:val="20"/>
        </w:rPr>
        <w:t> </w:t>
      </w:r>
      <w:r>
        <w:rPr>
          <w:sz w:val="20"/>
        </w:rPr>
        <w:t>Nilai perusahaan diukur dengan </w:t>
      </w:r>
      <w:r>
        <w:rPr>
          <w:i/>
          <w:sz w:val="20"/>
        </w:rPr>
        <w:t>Price to Book Value </w:t>
      </w:r>
      <w:r>
        <w:rPr>
          <w:sz w:val="20"/>
        </w:rPr>
        <w:t>(PBV), sedangkan variabel independen meliputi </w:t>
      </w:r>
      <w:r>
        <w:rPr>
          <w:i/>
          <w:sz w:val="20"/>
        </w:rPr>
        <w:t>Return on Assets </w:t>
      </w:r>
      <w:r>
        <w:rPr>
          <w:sz w:val="20"/>
        </w:rPr>
        <w:t>(ROA), </w:t>
      </w:r>
      <w:r>
        <w:rPr>
          <w:i/>
          <w:sz w:val="20"/>
        </w:rPr>
        <w:t>Current Ratio </w:t>
      </w:r>
      <w:r>
        <w:rPr>
          <w:sz w:val="20"/>
        </w:rPr>
        <w:t>(CR), </w:t>
      </w:r>
      <w:r>
        <w:rPr>
          <w:i/>
          <w:sz w:val="20"/>
        </w:rPr>
        <w:t>Debt to Equity Ratio </w:t>
      </w:r>
      <w:r>
        <w:rPr>
          <w:sz w:val="20"/>
        </w:rPr>
        <w:t>(DER), dan pertumbuhan aset. Penelitian ini menggunakan metode kuantitatif dengan teknik </w:t>
      </w:r>
      <w:r>
        <w:rPr>
          <w:i/>
          <w:sz w:val="20"/>
        </w:rPr>
        <w:t>purposive sampling </w:t>
      </w:r>
      <w:r>
        <w:rPr>
          <w:sz w:val="20"/>
        </w:rPr>
        <w:t>terhadap 16 perusahaan. Analisis data dilakukan menggunakan regresi linier berganda dengan metode </w:t>
      </w:r>
      <w:r>
        <w:rPr>
          <w:i/>
          <w:sz w:val="20"/>
        </w:rPr>
        <w:t>bootstrapping</w:t>
      </w:r>
      <w:r>
        <w:rPr>
          <w:sz w:val="20"/>
        </w:rPr>
        <w:t>. Hasil penelitian menunjukkan bahwa likuiditas berpengaruh negatif signifikan dan solvabilitas berpengaruh positif signifikan terhadap nilai perusahaan, sedangkan profitabilitas dan pertumbuhan aset tidak berpengaruh signifikan.</w:t>
      </w:r>
    </w:p>
    <w:p>
      <w:pPr>
        <w:pStyle w:val="BodyText"/>
        <w:rPr>
          <w:sz w:val="20"/>
        </w:rPr>
      </w:pPr>
    </w:p>
    <w:p>
      <w:pPr>
        <w:spacing w:before="0"/>
        <w:ind w:left="568" w:right="0" w:firstLine="0"/>
        <w:jc w:val="both"/>
        <w:rPr>
          <w:sz w:val="20"/>
        </w:rPr>
      </w:pPr>
      <w:r>
        <w:rPr>
          <w:spacing w:val="-2"/>
          <w:sz w:val="20"/>
        </w:rPr>
        <w:t>Kata</w:t>
      </w:r>
      <w:r>
        <w:rPr>
          <w:spacing w:val="-8"/>
          <w:sz w:val="20"/>
        </w:rPr>
        <w:t> </w:t>
      </w:r>
      <w:r>
        <w:rPr>
          <w:spacing w:val="-2"/>
          <w:sz w:val="20"/>
        </w:rPr>
        <w:t>kunci: Profitabilitas, Likuiditas,</w:t>
      </w:r>
      <w:r>
        <w:rPr>
          <w:spacing w:val="1"/>
          <w:sz w:val="20"/>
        </w:rPr>
        <w:t> </w:t>
      </w:r>
      <w:r>
        <w:rPr>
          <w:spacing w:val="-2"/>
          <w:sz w:val="20"/>
        </w:rPr>
        <w:t>Solvabilitas,</w:t>
      </w:r>
      <w:r>
        <w:rPr>
          <w:spacing w:val="2"/>
          <w:sz w:val="20"/>
        </w:rPr>
        <w:t> </w:t>
      </w:r>
      <w:r>
        <w:rPr>
          <w:spacing w:val="-2"/>
          <w:sz w:val="20"/>
        </w:rPr>
        <w:t>Pertumbuhan</w:t>
      </w:r>
      <w:r>
        <w:rPr>
          <w:spacing w:val="-7"/>
          <w:sz w:val="20"/>
        </w:rPr>
        <w:t> </w:t>
      </w:r>
      <w:r>
        <w:rPr>
          <w:spacing w:val="-2"/>
          <w:sz w:val="20"/>
        </w:rPr>
        <w:t>Aset,</w:t>
      </w:r>
      <w:r>
        <w:rPr>
          <w:spacing w:val="1"/>
          <w:sz w:val="20"/>
        </w:rPr>
        <w:t> </w:t>
      </w:r>
      <w:r>
        <w:rPr>
          <w:spacing w:val="-2"/>
          <w:sz w:val="20"/>
        </w:rPr>
        <w:t>Nilai</w:t>
      </w:r>
      <w:r>
        <w:rPr>
          <w:spacing w:val="2"/>
          <w:sz w:val="20"/>
        </w:rPr>
        <w:t> </w:t>
      </w:r>
      <w:r>
        <w:rPr>
          <w:spacing w:val="-2"/>
          <w:sz w:val="20"/>
        </w:rPr>
        <w:t>Perusahaan.</w:t>
      </w:r>
    </w:p>
    <w:p>
      <w:pPr>
        <w:pStyle w:val="BodyText"/>
        <w:rPr>
          <w:sz w:val="20"/>
        </w:rPr>
      </w:pPr>
    </w:p>
    <w:p>
      <w:pPr>
        <w:pStyle w:val="BodyText"/>
        <w:rPr>
          <w:sz w:val="20"/>
        </w:rPr>
      </w:pPr>
    </w:p>
    <w:p>
      <w:pPr>
        <w:pStyle w:val="BodyText"/>
        <w:spacing w:before="89"/>
        <w:rPr>
          <w:sz w:val="20"/>
        </w:rPr>
      </w:pPr>
    </w:p>
    <w:p>
      <w:pPr>
        <w:pStyle w:val="Heading1"/>
        <w:jc w:val="left"/>
      </w:pPr>
      <w:bookmarkStart w:name="PENDAHULUAN" w:id="3"/>
      <w:bookmarkEnd w:id="3"/>
      <w:r>
        <w:rPr>
          <w:b w:val="0"/>
        </w:rPr>
      </w:r>
      <w:r>
        <w:rPr>
          <w:spacing w:val="-2"/>
        </w:rPr>
        <w:t>PENDAHULUAN</w:t>
      </w:r>
    </w:p>
    <w:p>
      <w:pPr>
        <w:pStyle w:val="BodyText"/>
        <w:ind w:left="568" w:right="132" w:firstLine="566"/>
        <w:jc w:val="both"/>
      </w:pPr>
      <w:r>
        <w:rPr/>
        <w:t>Industri telekomunikasi di Indonesia merupakan sektor strategis yang mengalami pertumbuhan pesat seiring percepatan digitalisasi dan transformasi teknologi. Peningkatan kebutuhan layanan data dan komunikasi mendorong perusahaan untuk</w:t>
      </w:r>
      <w:r>
        <w:rPr>
          <w:spacing w:val="-6"/>
        </w:rPr>
        <w:t> </w:t>
      </w:r>
      <w:r>
        <w:rPr/>
        <w:t>memperluas jaringan serta</w:t>
      </w:r>
      <w:r>
        <w:rPr>
          <w:spacing w:val="-3"/>
        </w:rPr>
        <w:t> </w:t>
      </w:r>
      <w:r>
        <w:rPr/>
        <w:t>meningkatkan investasi</w:t>
      </w:r>
      <w:r>
        <w:rPr>
          <w:spacing w:val="-6"/>
        </w:rPr>
        <w:t> </w:t>
      </w:r>
      <w:r>
        <w:rPr/>
        <w:t>infrastruktur. Salah satu peristiwa penting adalah </w:t>
      </w:r>
      <w:r>
        <w:rPr>
          <w:i/>
        </w:rPr>
        <w:t>merger </w:t>
      </w:r>
      <w:r>
        <w:rPr/>
        <w:t>antara PT Indosat Tbk dan PT Hutchison 3 Indonesia pada Januari 2022 yang membentuk Indosat Ooredoo Hutchison, dengan nilai transaksi sekitar USD 6 miliar, menjadikannya salah satu</w:t>
      </w:r>
    </w:p>
    <w:p>
      <w:pPr>
        <w:pStyle w:val="BodyText"/>
        <w:spacing w:after="0"/>
        <w:jc w:val="both"/>
        <w:sectPr>
          <w:headerReference w:type="default" r:id="rId5"/>
          <w:headerReference w:type="even" r:id="rId6"/>
          <w:type w:val="continuous"/>
          <w:pgSz w:w="11910" w:h="16840"/>
          <w:pgMar w:header="795" w:footer="0" w:top="1080" w:bottom="280" w:left="1700" w:right="1559"/>
          <w:pgNumType w:start="15"/>
        </w:sectPr>
      </w:pPr>
    </w:p>
    <w:p>
      <w:pPr>
        <w:pStyle w:val="BodyText"/>
      </w:pPr>
    </w:p>
    <w:p>
      <w:pPr>
        <w:pStyle w:val="BodyText"/>
      </w:pPr>
    </w:p>
    <w:p>
      <w:pPr>
        <w:pStyle w:val="BodyText"/>
      </w:pPr>
    </w:p>
    <w:p>
      <w:pPr>
        <w:pStyle w:val="BodyText"/>
        <w:spacing w:before="50"/>
      </w:pPr>
    </w:p>
    <w:p>
      <w:pPr>
        <w:pStyle w:val="BodyText"/>
        <w:ind w:left="568" w:right="140"/>
        <w:jc w:val="both"/>
      </w:pPr>
      <w:r>
        <w:rPr/>
        <w:t>konsolidasi terbesar di industri telekomunikasi nasional (Liputan6, 2021). Pasca </w:t>
      </w:r>
      <w:r>
        <w:rPr>
          <w:i/>
        </w:rPr>
        <w:t>merger, </w:t>
      </w:r>
      <w:r>
        <w:rPr/>
        <w:t>perusahaan mencatat peningkatan jumlah pelanggan serta kinerja keuangan yang lebih baik (Yati, 2023).</w:t>
      </w:r>
    </w:p>
    <w:p>
      <w:pPr>
        <w:pStyle w:val="BodyText"/>
        <w:ind w:left="568" w:right="136" w:firstLine="566"/>
        <w:jc w:val="both"/>
      </w:pPr>
      <w:r>
        <w:rPr/>
        <w:t>Perkembangan nilai perusahaan di sektor telekomunikasi juga tidak terlepas dari kondisi pasar modal secara umum. Pergerakan Indeks Harga Saham Gabungan (IHSG) selama periode 2020–2024 menunjukkan tren yang fluktuatif sebagaimana ditunjukkan pada Gambar 1.</w:t>
      </w:r>
    </w:p>
    <w:p>
      <w:pPr>
        <w:pStyle w:val="Heading2"/>
        <w:ind w:left="1256"/>
      </w:pPr>
      <w:bookmarkStart w:name="Gambar 1. Pergerakan Indeks Harga Saham " w:id="4"/>
      <w:bookmarkEnd w:id="4"/>
      <w:r>
        <w:rPr>
          <w:b w:val="0"/>
        </w:rPr>
      </w:r>
      <w:r>
        <w:rPr/>
        <w:t>Gambar</w:t>
      </w:r>
      <w:r>
        <w:rPr>
          <w:spacing w:val="-10"/>
        </w:rPr>
        <w:t> </w:t>
      </w:r>
      <w:r>
        <w:rPr/>
        <w:t>1.</w:t>
      </w:r>
      <w:r>
        <w:rPr>
          <w:spacing w:val="-2"/>
        </w:rPr>
        <w:t> </w:t>
      </w:r>
      <w:r>
        <w:rPr/>
        <w:t>Pergerakan</w:t>
      </w:r>
      <w:r>
        <w:rPr>
          <w:spacing w:val="-4"/>
        </w:rPr>
        <w:t> </w:t>
      </w:r>
      <w:r>
        <w:rPr/>
        <w:t>Indeks</w:t>
      </w:r>
      <w:r>
        <w:rPr>
          <w:spacing w:val="-5"/>
        </w:rPr>
        <w:t> </w:t>
      </w:r>
      <w:r>
        <w:rPr/>
        <w:t>Harga</w:t>
      </w:r>
      <w:r>
        <w:rPr>
          <w:spacing w:val="-3"/>
        </w:rPr>
        <w:t> </w:t>
      </w:r>
      <w:r>
        <w:rPr/>
        <w:t>Saham</w:t>
      </w:r>
      <w:r>
        <w:rPr>
          <w:spacing w:val="-6"/>
        </w:rPr>
        <w:t> </w:t>
      </w:r>
      <w:r>
        <w:rPr/>
        <w:t>Gabungan</w:t>
      </w:r>
      <w:r>
        <w:rPr>
          <w:spacing w:val="-5"/>
        </w:rPr>
        <w:t> </w:t>
      </w:r>
      <w:r>
        <w:rPr>
          <w:spacing w:val="-2"/>
        </w:rPr>
        <w:t>(IHSG)</w:t>
      </w:r>
    </w:p>
    <w:p>
      <w:pPr>
        <w:pStyle w:val="Heading2"/>
        <w:ind w:left="3858"/>
      </w:pPr>
      <w:r>
        <w:rPr/>
        <w:drawing>
          <wp:anchor distT="0" distB="0" distL="0" distR="0" allowOverlap="1" layoutInCell="1" locked="0" behindDoc="0" simplePos="0" relativeHeight="15728640">
            <wp:simplePos x="0" y="0"/>
            <wp:positionH relativeFrom="page">
              <wp:posOffset>1964435</wp:posOffset>
            </wp:positionH>
            <wp:positionV relativeFrom="paragraph">
              <wp:posOffset>151181</wp:posOffset>
            </wp:positionV>
            <wp:extent cx="3989832" cy="1758695"/>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3989832" cy="1758695"/>
                    </a:xfrm>
                    <a:prstGeom prst="rect">
                      <a:avLst/>
                    </a:prstGeom>
                  </pic:spPr>
                </pic:pic>
              </a:graphicData>
            </a:graphic>
          </wp:anchor>
        </w:drawing>
      </w:r>
      <w:bookmarkStart w:name="_TOC_250000" w:id="5"/>
      <w:r>
        <w:rPr/>
        <w:t>Tahun</w:t>
      </w:r>
      <w:r>
        <w:rPr>
          <w:spacing w:val="-9"/>
        </w:rPr>
        <w:t> </w:t>
      </w:r>
      <w:r>
        <w:rPr/>
        <w:t>2020-</w:t>
      </w:r>
      <w:bookmarkEnd w:id="5"/>
      <w:r>
        <w:rPr>
          <w:spacing w:val="-4"/>
        </w:rPr>
        <w:t>2024</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14"/>
        <w:rPr>
          <w:b/>
        </w:rPr>
      </w:pPr>
    </w:p>
    <w:p>
      <w:pPr>
        <w:pStyle w:val="BodyText"/>
        <w:ind w:left="1292"/>
        <w:jc w:val="both"/>
      </w:pPr>
      <w:r>
        <w:rPr/>
        <w:t>Sumber:</w:t>
      </w:r>
      <w:r>
        <w:rPr>
          <w:spacing w:val="-8"/>
        </w:rPr>
        <w:t> </w:t>
      </w:r>
      <w:r>
        <w:rPr/>
        <w:t>Bursa</w:t>
      </w:r>
      <w:r>
        <w:rPr>
          <w:spacing w:val="-2"/>
        </w:rPr>
        <w:t> </w:t>
      </w:r>
      <w:r>
        <w:rPr/>
        <w:t>Efek</w:t>
      </w:r>
      <w:r>
        <w:rPr>
          <w:spacing w:val="-3"/>
        </w:rPr>
        <w:t> </w:t>
      </w:r>
      <w:r>
        <w:rPr/>
        <w:t>Indonesia</w:t>
      </w:r>
      <w:r>
        <w:rPr>
          <w:spacing w:val="-4"/>
        </w:rPr>
        <w:t> </w:t>
      </w:r>
      <w:r>
        <w:rPr/>
        <w:t>(BEI),</w:t>
      </w:r>
      <w:r>
        <w:rPr>
          <w:spacing w:val="-3"/>
        </w:rPr>
        <w:t> </w:t>
      </w:r>
      <w:r>
        <w:rPr>
          <w:spacing w:val="-4"/>
        </w:rPr>
        <w:t>2025</w:t>
      </w:r>
    </w:p>
    <w:p>
      <w:pPr>
        <w:pStyle w:val="BodyText"/>
      </w:pPr>
    </w:p>
    <w:p>
      <w:pPr>
        <w:pStyle w:val="BodyText"/>
        <w:ind w:left="568" w:right="139" w:firstLine="566"/>
        <w:jc w:val="both"/>
      </w:pPr>
      <w:r>
        <w:rPr/>
        <w:t>IHSG tercatat berada pada level 5.190,41 pada tahun 2020 akibat dampak pandemi Covid-19, kemudian meningkat menjadi 6.186,02 pada tahun 2021 dan mencapai 7.006,80 pada tahun 2022. Pada tahun 2023 IHSG mengalami sedikit koreksi</w:t>
      </w:r>
      <w:r>
        <w:rPr>
          <w:spacing w:val="-3"/>
        </w:rPr>
        <w:t> </w:t>
      </w:r>
      <w:r>
        <w:rPr/>
        <w:t>menjadi</w:t>
      </w:r>
      <w:r>
        <w:rPr>
          <w:spacing w:val="-5"/>
        </w:rPr>
        <w:t> </w:t>
      </w:r>
      <w:r>
        <w:rPr/>
        <w:t>6.885,75</w:t>
      </w:r>
      <w:r>
        <w:rPr>
          <w:spacing w:val="-3"/>
        </w:rPr>
        <w:t> </w:t>
      </w:r>
      <w:r>
        <w:rPr/>
        <w:t>sebelum</w:t>
      </w:r>
      <w:r>
        <w:rPr>
          <w:spacing w:val="-3"/>
        </w:rPr>
        <w:t> </w:t>
      </w:r>
      <w:r>
        <w:rPr/>
        <w:t>kembali</w:t>
      </w:r>
      <w:r>
        <w:rPr>
          <w:spacing w:val="-3"/>
        </w:rPr>
        <w:t> </w:t>
      </w:r>
      <w:r>
        <w:rPr/>
        <w:t>meningkat</w:t>
      </w:r>
      <w:r>
        <w:rPr>
          <w:spacing w:val="-3"/>
        </w:rPr>
        <w:t> </w:t>
      </w:r>
      <w:r>
        <w:rPr/>
        <w:t>hingga 7.275,33</w:t>
      </w:r>
      <w:r>
        <w:rPr>
          <w:spacing w:val="-5"/>
        </w:rPr>
        <w:t> </w:t>
      </w:r>
      <w:r>
        <w:rPr/>
        <w:t>pada</w:t>
      </w:r>
      <w:r>
        <w:rPr>
          <w:spacing w:val="-2"/>
        </w:rPr>
        <w:t> </w:t>
      </w:r>
      <w:r>
        <w:rPr/>
        <w:t>tahun 2024. Fluktuasi tersebut menunjukkan bahwa pasar modal Indonesia mengalami dinamika yang dipengaruhi oleh kondisi ekonomi global maupun pemulihan ekonomi pasca pandemi.</w:t>
      </w:r>
    </w:p>
    <w:p>
      <w:pPr>
        <w:pStyle w:val="BodyText"/>
        <w:ind w:left="568" w:right="136" w:firstLine="566"/>
        <w:jc w:val="both"/>
      </w:pPr>
      <w:r>
        <w:rPr/>
        <w:t>Namun demikian, pergerakan nilai perusahaan pada subsektor telekomunikasi tidak selalu mengikuti tren IHSG secara keseluruhan. Hal ini</w:t>
      </w:r>
      <w:r>
        <w:rPr>
          <w:spacing w:val="40"/>
        </w:rPr>
        <w:t> </w:t>
      </w:r>
      <w:r>
        <w:rPr/>
        <w:t>dapat dilihat pada gambar di bawah ini yang menunjukkan adanya perbedaan harga saham antar perusahaan telekomunikasi yang tercatat di Bursa Efek </w:t>
      </w:r>
      <w:r>
        <w:rPr>
          <w:spacing w:val="-2"/>
        </w:rPr>
        <w:t>Indonesia.</w:t>
      </w:r>
    </w:p>
    <w:p>
      <w:pPr>
        <w:pStyle w:val="Heading2"/>
        <w:ind w:left="3858" w:right="509" w:hanging="2494"/>
      </w:pPr>
      <w:bookmarkStart w:name="Gambar 2. Pergerakan Harga Saham Sub-Sek" w:id="6"/>
      <w:bookmarkEnd w:id="6"/>
      <w:r>
        <w:rPr>
          <w:b w:val="0"/>
        </w:rPr>
      </w:r>
      <w:r>
        <w:rPr/>
        <w:t>Gambar</w:t>
      </w:r>
      <w:r>
        <w:rPr>
          <w:spacing w:val="-4"/>
        </w:rPr>
        <w:t> </w:t>
      </w:r>
      <w:r>
        <w:rPr/>
        <w:t>2.</w:t>
      </w:r>
      <w:r>
        <w:rPr>
          <w:spacing w:val="-6"/>
        </w:rPr>
        <w:t> </w:t>
      </w:r>
      <w:r>
        <w:rPr/>
        <w:t>Pergerakan</w:t>
      </w:r>
      <w:r>
        <w:rPr>
          <w:spacing w:val="-4"/>
        </w:rPr>
        <w:t> </w:t>
      </w:r>
      <w:r>
        <w:rPr/>
        <w:t>Harga</w:t>
      </w:r>
      <w:r>
        <w:rPr>
          <w:spacing w:val="-6"/>
        </w:rPr>
        <w:t> </w:t>
      </w:r>
      <w:r>
        <w:rPr/>
        <w:t>Saham</w:t>
      </w:r>
      <w:r>
        <w:rPr>
          <w:spacing w:val="-7"/>
        </w:rPr>
        <w:t> </w:t>
      </w:r>
      <w:r>
        <w:rPr/>
        <w:t>Sub-Sektor</w:t>
      </w:r>
      <w:r>
        <w:rPr>
          <w:spacing w:val="-5"/>
        </w:rPr>
        <w:t> </w:t>
      </w:r>
      <w:r>
        <w:rPr/>
        <w:t>Telekomunikasi Tahun 2020-2024</w:t>
      </w:r>
    </w:p>
    <w:p>
      <w:pPr>
        <w:pStyle w:val="Heading2"/>
        <w:spacing w:after="0"/>
        <w:sectPr>
          <w:pgSz w:w="11910" w:h="16840"/>
          <w:pgMar w:header="795" w:footer="0" w:top="1080" w:bottom="280" w:left="1700" w:right="1559"/>
        </w:sectPr>
      </w:pPr>
    </w:p>
    <w:p>
      <w:pPr>
        <w:pStyle w:val="BodyText"/>
        <w:rPr>
          <w:b/>
          <w:sz w:val="20"/>
        </w:rPr>
      </w:pPr>
    </w:p>
    <w:p>
      <w:pPr>
        <w:pStyle w:val="BodyText"/>
        <w:rPr>
          <w:b/>
          <w:sz w:val="20"/>
        </w:rPr>
      </w:pPr>
    </w:p>
    <w:p>
      <w:pPr>
        <w:pStyle w:val="BodyText"/>
        <w:rPr>
          <w:b/>
          <w:sz w:val="20"/>
        </w:rPr>
      </w:pPr>
    </w:p>
    <w:p>
      <w:pPr>
        <w:pStyle w:val="BodyText"/>
        <w:spacing w:before="195" w:after="1"/>
        <w:rPr>
          <w:b/>
          <w:sz w:val="20"/>
        </w:rPr>
      </w:pPr>
    </w:p>
    <w:p>
      <w:pPr>
        <w:spacing w:line="240" w:lineRule="auto"/>
        <w:ind w:left="1388" w:right="0" w:firstLine="0"/>
        <w:rPr>
          <w:sz w:val="20"/>
        </w:rPr>
      </w:pPr>
      <w:r>
        <w:rPr>
          <w:sz w:val="20"/>
        </w:rPr>
        <w:drawing>
          <wp:inline distT="0" distB="0" distL="0" distR="0">
            <wp:extent cx="4287012" cy="2267711"/>
            <wp:effectExtent l="0" t="0" r="0" b="0"/>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4287012" cy="2267711"/>
                    </a:xfrm>
                    <a:prstGeom prst="rect">
                      <a:avLst/>
                    </a:prstGeom>
                  </pic:spPr>
                </pic:pic>
              </a:graphicData>
            </a:graphic>
          </wp:inline>
        </w:drawing>
      </w:r>
      <w:r>
        <w:rPr>
          <w:sz w:val="20"/>
        </w:rPr>
      </w:r>
    </w:p>
    <w:p>
      <w:pPr>
        <w:pStyle w:val="BodyText"/>
        <w:ind w:left="1288"/>
        <w:jc w:val="both"/>
      </w:pPr>
      <w:r>
        <w:rPr/>
        <w:t>Sumber:</w:t>
      </w:r>
      <w:r>
        <w:rPr>
          <w:spacing w:val="-8"/>
        </w:rPr>
        <w:t> </w:t>
      </w:r>
      <w:r>
        <w:rPr/>
        <w:t>Bursa</w:t>
      </w:r>
      <w:r>
        <w:rPr>
          <w:spacing w:val="-4"/>
        </w:rPr>
        <w:t> </w:t>
      </w:r>
      <w:r>
        <w:rPr/>
        <w:t>Efek</w:t>
      </w:r>
      <w:r>
        <w:rPr>
          <w:spacing w:val="-3"/>
        </w:rPr>
        <w:t> </w:t>
      </w:r>
      <w:r>
        <w:rPr/>
        <w:t>Indonesia</w:t>
      </w:r>
      <w:r>
        <w:rPr>
          <w:spacing w:val="-4"/>
        </w:rPr>
        <w:t> </w:t>
      </w:r>
      <w:r>
        <w:rPr/>
        <w:t>(BEI),</w:t>
      </w:r>
      <w:r>
        <w:rPr>
          <w:spacing w:val="-3"/>
        </w:rPr>
        <w:t> </w:t>
      </w:r>
      <w:r>
        <w:rPr>
          <w:spacing w:val="-4"/>
        </w:rPr>
        <w:t>2025</w:t>
      </w:r>
    </w:p>
    <w:p>
      <w:pPr>
        <w:pStyle w:val="BodyText"/>
        <w:spacing w:before="4"/>
        <w:ind w:left="568" w:right="137" w:firstLine="566"/>
        <w:jc w:val="both"/>
      </w:pPr>
      <w:r>
        <w:rPr/>
        <w:t>Beberapa emiten seperti PT Tower Bersama Infrastructure Tbk (TBIG) dan PT Solusi Tunas Pratama Tbk (SUPR) memiliki harga saham yang relatif lebih tinggi dibandingkan perusahaan lainnya, sedangkan beberapa emiten lain cenderung berada pada tingkat harga yang lebih rendah dan stabil. Perbedaan tersebut mengindikasikan bahwa persepsi investor terhadap masing-masing perusahaan dapat berbeda meskipun berada dalam sektor industri yang sama</w:t>
      </w:r>
    </w:p>
    <w:p>
      <w:pPr>
        <w:pStyle w:val="BodyText"/>
        <w:ind w:left="568" w:right="136" w:firstLine="566"/>
        <w:jc w:val="both"/>
      </w:pPr>
      <w:r>
        <w:rPr/>
        <w:t>Perbedaan nilai pasar antar perusahaan tersebut menunjukkan bahwa nilai perusahaan tidak hanya dipengaruhi oleh kondisi pasar secara umum, tetapi juga oleh kinerja dan fundamental internal perusahaan. Dalam teori keuangan, nilai perusahaan mencerminkan tingkat kepercayaan investor terhadap prospek perusahaan di masa depan. Secara teoritis, nilai perusahaan mencerminkan ekspektasi investor terhadap prospek masa depan dan dipengaruhi oleh indikator kinerja keuangan seperti profitabilitas, likuiditas, solvabilitas, dan pertumbuhan aset. Profitabilitas umumnya diproksikan dengan </w:t>
      </w:r>
      <w:r>
        <w:rPr>
          <w:i/>
        </w:rPr>
        <w:t>Return on Assets </w:t>
      </w:r>
      <w:r>
        <w:rPr/>
        <w:t>(ROA), likuiditas dengan </w:t>
      </w:r>
      <w:r>
        <w:rPr>
          <w:i/>
        </w:rPr>
        <w:t>Current Ratio </w:t>
      </w:r>
      <w:r>
        <w:rPr/>
        <w:t>(CR), dan solvabilitas dengan </w:t>
      </w:r>
      <w:r>
        <w:rPr>
          <w:i/>
        </w:rPr>
        <w:t>Debt to Equity Ratio</w:t>
      </w:r>
      <w:r>
        <w:rPr>
          <w:i/>
          <w:spacing w:val="-2"/>
        </w:rPr>
        <w:t> </w:t>
      </w:r>
      <w:r>
        <w:rPr/>
        <w:t>(DER). Pada</w:t>
      </w:r>
      <w:r>
        <w:rPr>
          <w:spacing w:val="-1"/>
        </w:rPr>
        <w:t> </w:t>
      </w:r>
      <w:r>
        <w:rPr/>
        <w:t>industri</w:t>
      </w:r>
      <w:r>
        <w:rPr>
          <w:spacing w:val="-2"/>
        </w:rPr>
        <w:t> </w:t>
      </w:r>
      <w:r>
        <w:rPr/>
        <w:t>yang padat modal seperti telekomunikasi, struktur aset dan kemampuan ekspansi juga menjadi sinyal penting bagi investor.</w:t>
      </w:r>
    </w:p>
    <w:p>
      <w:pPr>
        <w:pStyle w:val="BodyText"/>
        <w:ind w:left="568" w:right="134" w:firstLine="566"/>
        <w:jc w:val="both"/>
      </w:pPr>
      <w:r>
        <w:rPr/>
        <w:t>Penelitian terdahulu menunjukkan hasil yang belum konsisten mengenai pengaruh rasio keuangan terhadap nilai perusahaan. Beberapa studi menemukan ROA dan DER berpengaruh signifikan terhadap nilai perusahaan, sementara CR tidak signifikan (Pramudianto &amp; Waluyo, 2024; Tambun </w:t>
      </w:r>
      <w:r>
        <w:rPr>
          <w:i/>
        </w:rPr>
        <w:t>et al.</w:t>
      </w:r>
      <w:r>
        <w:rPr/>
        <w:t>, 2022). Namun, penelitian lain menunjukkan ROA dan DER tidak berpengaruh, sedangkan variabel lain seperti ukuran perusahaan atau aktivitas aset justru signifikan (Azzura, 2024; Mulyono &amp; Triyonowati, 2024; Paramita &amp; Aminah, 2024). Perbedaan temuan tersebut menunjukkan bahwa pengaruh rasio keuangan bersifat kontekstual dan bergantung pada periode serta karakteristik sektor. Selain itu, variabel pertumbuhan aset masih relatif jarang dikaji, padahal relevan dalam konteks ekspansi dan konsolidasi industri telekomunikasi. Berdasarkan fenomena dan </w:t>
      </w:r>
      <w:r>
        <w:rPr>
          <w:i/>
        </w:rPr>
        <w:t>research gap </w:t>
      </w:r>
      <w:r>
        <w:rPr/>
        <w:t>tersebut, penelitian ini bertujuan menganalisis pengaruh profitabilitas (ROA), likuiditas (CR), solvabilitas (DER), dan pertumbuhan aset terhadap nilai perusahaan yang diproksikan dengan PBV pada perusahaan subsektor telekomunikasi yang terdaftar di BEI periode 2020–2024.</w:t>
      </w:r>
    </w:p>
    <w:p>
      <w:pPr>
        <w:pStyle w:val="BodyText"/>
        <w:spacing w:after="0"/>
        <w:jc w:val="both"/>
        <w:sectPr>
          <w:pgSz w:w="11910" w:h="16840"/>
          <w:pgMar w:header="795" w:footer="0" w:top="1080" w:bottom="280" w:left="1700" w:right="1559"/>
        </w:sectPr>
      </w:pPr>
    </w:p>
    <w:p>
      <w:pPr>
        <w:pStyle w:val="BodyText"/>
      </w:pPr>
    </w:p>
    <w:p>
      <w:pPr>
        <w:pStyle w:val="BodyText"/>
      </w:pPr>
    </w:p>
    <w:p>
      <w:pPr>
        <w:pStyle w:val="BodyText"/>
      </w:pPr>
    </w:p>
    <w:p>
      <w:pPr>
        <w:pStyle w:val="BodyText"/>
      </w:pPr>
    </w:p>
    <w:p>
      <w:pPr>
        <w:pStyle w:val="BodyText"/>
        <w:spacing w:before="48"/>
      </w:pPr>
    </w:p>
    <w:p>
      <w:pPr>
        <w:pStyle w:val="Heading1"/>
      </w:pPr>
      <w:bookmarkStart w:name="TELAAH PUSTAKA" w:id="7"/>
      <w:bookmarkEnd w:id="7"/>
      <w:r>
        <w:rPr>
          <w:b w:val="0"/>
        </w:rPr>
      </w:r>
      <w:r>
        <w:rPr/>
        <w:t>TELAAH</w:t>
      </w:r>
      <w:r>
        <w:rPr>
          <w:spacing w:val="-9"/>
        </w:rPr>
        <w:t> </w:t>
      </w:r>
      <w:r>
        <w:rPr>
          <w:spacing w:val="-2"/>
        </w:rPr>
        <w:t>PUSTAKA</w:t>
      </w:r>
    </w:p>
    <w:p>
      <w:pPr>
        <w:spacing w:before="0"/>
        <w:ind w:left="568" w:right="0" w:firstLine="0"/>
        <w:jc w:val="both"/>
        <w:rPr>
          <w:b/>
          <w:i/>
          <w:sz w:val="24"/>
        </w:rPr>
      </w:pPr>
      <w:r>
        <w:rPr>
          <w:b/>
          <w:sz w:val="24"/>
        </w:rPr>
        <w:t>Teori</w:t>
      </w:r>
      <w:r>
        <w:rPr>
          <w:b/>
          <w:spacing w:val="-15"/>
          <w:sz w:val="24"/>
        </w:rPr>
        <w:t> </w:t>
      </w:r>
      <w:r>
        <w:rPr>
          <w:b/>
          <w:sz w:val="24"/>
        </w:rPr>
        <w:t>Sinyal</w:t>
      </w:r>
      <w:r>
        <w:rPr>
          <w:b/>
          <w:spacing w:val="-12"/>
          <w:sz w:val="24"/>
        </w:rPr>
        <w:t> </w:t>
      </w:r>
      <w:r>
        <w:rPr>
          <w:b/>
          <w:i/>
          <w:sz w:val="24"/>
        </w:rPr>
        <w:t>(Signaling</w:t>
      </w:r>
      <w:r>
        <w:rPr>
          <w:b/>
          <w:i/>
          <w:spacing w:val="-15"/>
          <w:sz w:val="24"/>
        </w:rPr>
        <w:t> </w:t>
      </w:r>
      <w:r>
        <w:rPr>
          <w:b/>
          <w:i/>
          <w:spacing w:val="-2"/>
          <w:sz w:val="24"/>
        </w:rPr>
        <w:t>Theory)</w:t>
      </w:r>
    </w:p>
    <w:p>
      <w:pPr>
        <w:pStyle w:val="BodyText"/>
        <w:ind w:left="568" w:right="137" w:firstLine="566"/>
        <w:jc w:val="both"/>
      </w:pPr>
      <w:r>
        <w:rPr/>
        <w:t>Spence memperkenalkan teori sinyal pada tahun 1973. Teori ini menguraikan mengenai bagaimana pihak yang memiliki informasi, termasuk manajemen perusahaan, menyampaikan pesan kepada investor melalui sinyal</w:t>
      </w:r>
      <w:r>
        <w:rPr>
          <w:spacing w:val="40"/>
        </w:rPr>
        <w:t> </w:t>
      </w:r>
      <w:r>
        <w:rPr/>
        <w:t>yang mencerminkan nilai atau kondisi keuangan suatu perusahaan.</w:t>
      </w:r>
    </w:p>
    <w:p>
      <w:pPr>
        <w:pStyle w:val="Heading2"/>
        <w:spacing w:before="240"/>
        <w:jc w:val="left"/>
      </w:pPr>
      <w:bookmarkStart w:name="Profitabilitas" w:id="8"/>
      <w:bookmarkEnd w:id="8"/>
      <w:r>
        <w:rPr>
          <w:b w:val="0"/>
        </w:rPr>
      </w:r>
      <w:r>
        <w:rPr>
          <w:spacing w:val="-2"/>
        </w:rPr>
        <w:t>Profitabilitas</w:t>
      </w:r>
    </w:p>
    <w:p>
      <w:pPr>
        <w:pStyle w:val="BodyText"/>
        <w:ind w:left="568" w:right="137" w:firstLine="566"/>
        <w:jc w:val="both"/>
      </w:pPr>
      <w:r>
        <w:rPr/>
        <w:t>Profitabilitas mengukur kemampuan perusahaan menghasilkan laba dan mencerminkan efisiensi pemanfaatan aset (Priatna, 2016). Berdasarkan teori sinyal, profitabilitas tinggi menjadi sinyal positif atas prospek kinerja perusahaan (Spence, 1973) dan berpotensi meningkatkan nilai perusahaan (Brigham &amp; Houston,</w:t>
      </w:r>
      <w:r>
        <w:rPr>
          <w:spacing w:val="-2"/>
        </w:rPr>
        <w:t> </w:t>
      </w:r>
      <w:r>
        <w:rPr/>
        <w:t>2019). Studi</w:t>
      </w:r>
      <w:r>
        <w:rPr>
          <w:spacing w:val="-4"/>
        </w:rPr>
        <w:t> </w:t>
      </w:r>
      <w:r>
        <w:rPr/>
        <w:t>empiris</w:t>
      </w:r>
      <w:r>
        <w:rPr>
          <w:spacing w:val="-2"/>
        </w:rPr>
        <w:t> </w:t>
      </w:r>
      <w:r>
        <w:rPr/>
        <w:t>menunjukkan hasil</w:t>
      </w:r>
      <w:r>
        <w:rPr>
          <w:spacing w:val="-2"/>
        </w:rPr>
        <w:t> </w:t>
      </w:r>
      <w:r>
        <w:rPr/>
        <w:t>beragam, di</w:t>
      </w:r>
      <w:r>
        <w:rPr>
          <w:spacing w:val="-2"/>
        </w:rPr>
        <w:t> </w:t>
      </w:r>
      <w:r>
        <w:rPr/>
        <w:t>mana</w:t>
      </w:r>
      <w:r>
        <w:rPr>
          <w:spacing w:val="-3"/>
        </w:rPr>
        <w:t> </w:t>
      </w:r>
      <w:r>
        <w:rPr/>
        <w:t>ROA</w:t>
      </w:r>
      <w:r>
        <w:rPr>
          <w:spacing w:val="-14"/>
        </w:rPr>
        <w:t> </w:t>
      </w:r>
      <w:r>
        <w:rPr/>
        <w:t>terbukti berpengaruh positif signifikan (Pramudianto &amp; Waluyo, 2024; Tambun et al., 2022), namun tidak signifikan pada penelitian lain (Azzura, 2024).</w:t>
      </w:r>
    </w:p>
    <w:p>
      <w:pPr>
        <w:pStyle w:val="Heading2"/>
        <w:spacing w:before="240"/>
        <w:jc w:val="left"/>
      </w:pPr>
      <w:bookmarkStart w:name="Likuiditas" w:id="9"/>
      <w:bookmarkEnd w:id="9"/>
      <w:r>
        <w:rPr>
          <w:b w:val="0"/>
        </w:rPr>
      </w:r>
      <w:r>
        <w:rPr>
          <w:spacing w:val="-2"/>
        </w:rPr>
        <w:t>Likuiditas</w:t>
      </w:r>
    </w:p>
    <w:p>
      <w:pPr>
        <w:pStyle w:val="BodyText"/>
        <w:ind w:left="568" w:right="137" w:firstLine="566"/>
        <w:jc w:val="both"/>
      </w:pPr>
      <w:r>
        <w:rPr/>
        <w:t>Likuiditas mencerminkan kemampuan perusahaan memenuhi kewajiban jangka pendek melalui aset lancar (Kasmir, 2019). Meskipun likuiditas yang memadai menunjukkan stabilitas keuangan, tingkat likuiditas yang terlalu tinggi dapat mengindikasikan inefisiensi penggunaan aset lancar sehingga tidak selalu meningkatkan nilai perusahaan (Brigham &amp; Houston, 2019). Sejumlah studi empiris juga menunjukkan bahwa </w:t>
      </w:r>
      <w:r>
        <w:rPr>
          <w:i/>
        </w:rPr>
        <w:t>Current Ratio </w:t>
      </w:r>
      <w:r>
        <w:rPr/>
        <w:t>tidak berpengaruh signifikan terhadap nilai perusahaan (Pramudianto &amp; Waluyo, 2024; Tambun et al., 2022; Paramita &amp; Aminah, 2024).</w:t>
      </w:r>
    </w:p>
    <w:p>
      <w:pPr>
        <w:pStyle w:val="Heading2"/>
        <w:spacing w:before="240"/>
        <w:jc w:val="left"/>
      </w:pPr>
      <w:bookmarkStart w:name="Solvabilitas" w:id="10"/>
      <w:bookmarkEnd w:id="10"/>
      <w:r>
        <w:rPr>
          <w:b w:val="0"/>
        </w:rPr>
      </w:r>
      <w:r>
        <w:rPr>
          <w:spacing w:val="-2"/>
        </w:rPr>
        <w:t>Solvabilitas</w:t>
      </w:r>
    </w:p>
    <w:p>
      <w:pPr>
        <w:pStyle w:val="BodyText"/>
        <w:ind w:left="568" w:right="136" w:firstLine="566"/>
        <w:jc w:val="both"/>
      </w:pPr>
      <w:r>
        <w:rPr/>
        <w:t>Solvabilitas mencerminkan proporsi penggunaan utang dalam struktur pendanaan perusahaan (Rasdianto, 2019). Berdasarkan teori sinyal, DER yang moderat memberi sinyal positif, sedangkan DER tinggi meningkatkan risiko dan dapat menurunkan persepsi investor (Spence, 1973; Brigham &amp; Houston, 2019). Studi empiris menunjukkan hasil yang tidak konsisten terkait pengaruh DER terhadap nilai perusahaan.</w:t>
      </w:r>
    </w:p>
    <w:p>
      <w:pPr>
        <w:pStyle w:val="Heading2"/>
        <w:spacing w:before="240"/>
      </w:pPr>
      <w:bookmarkStart w:name="Pertumbuhan Aset" w:id="11"/>
      <w:bookmarkEnd w:id="11"/>
      <w:r>
        <w:rPr>
          <w:b w:val="0"/>
        </w:rPr>
      </w:r>
      <w:r>
        <w:rPr>
          <w:spacing w:val="-2"/>
        </w:rPr>
        <w:t>Pertumbuhan</w:t>
      </w:r>
      <w:r>
        <w:rPr>
          <w:spacing w:val="-8"/>
        </w:rPr>
        <w:t> </w:t>
      </w:r>
      <w:r>
        <w:rPr>
          <w:spacing w:val="-4"/>
        </w:rPr>
        <w:t>Aset</w:t>
      </w:r>
    </w:p>
    <w:p>
      <w:pPr>
        <w:pStyle w:val="BodyText"/>
        <w:ind w:left="568" w:right="133" w:firstLine="566"/>
        <w:jc w:val="both"/>
      </w:pPr>
      <w:r>
        <w:rPr/>
        <w:t>Pertumbuhan aset menunjukkan kemampuan perusahaan dalam memperluas kapasitas operasional dan memperkuat struktur keuangan (Sumarsan, 2021). Berdasarkan teori sinyal, peningkatan aset yang konsisten menjadi sinyal positif mengenai prospek ekspansi dan keberlanjutan usaha (Spence, 1973). Studi</w:t>
      </w:r>
      <w:r>
        <w:rPr>
          <w:spacing w:val="80"/>
        </w:rPr>
        <w:t> </w:t>
      </w:r>
      <w:r>
        <w:rPr/>
        <w:t>empiris juga menunjukkan adanya hubungan positif antara pertumbuhan aset dan nilai perusahaan, meskipun masih terbatas pada konteks sektor tertentu (Pramudianto &amp; Waluyo, 2024).</w:t>
      </w:r>
    </w:p>
    <w:p>
      <w:pPr>
        <w:pStyle w:val="Heading2"/>
        <w:spacing w:before="241"/>
        <w:jc w:val="left"/>
      </w:pPr>
      <w:bookmarkStart w:name="Nilai Perusahaan" w:id="12"/>
      <w:bookmarkEnd w:id="12"/>
      <w:r>
        <w:rPr>
          <w:b w:val="0"/>
        </w:rPr>
      </w:r>
      <w:r>
        <w:rPr/>
        <w:t>Nilai</w:t>
      </w:r>
      <w:r>
        <w:rPr>
          <w:spacing w:val="-6"/>
        </w:rPr>
        <w:t> </w:t>
      </w:r>
      <w:r>
        <w:rPr>
          <w:spacing w:val="-2"/>
        </w:rPr>
        <w:t>Perusahaan</w:t>
      </w:r>
    </w:p>
    <w:p>
      <w:pPr>
        <w:pStyle w:val="BodyText"/>
        <w:ind w:left="568" w:right="139" w:firstLine="566"/>
        <w:jc w:val="both"/>
      </w:pPr>
      <w:r>
        <w:rPr/>
        <w:t>Nilai perusahaan mencerminkan persepsi pasar terhadap kemampuan manajemen</w:t>
      </w:r>
      <w:r>
        <w:rPr>
          <w:spacing w:val="80"/>
        </w:rPr>
        <w:t> </w:t>
      </w:r>
      <w:r>
        <w:rPr/>
        <w:t>dalam</w:t>
      </w:r>
      <w:r>
        <w:rPr>
          <w:spacing w:val="80"/>
        </w:rPr>
        <w:t> </w:t>
      </w:r>
      <w:r>
        <w:rPr/>
        <w:t>mengelola</w:t>
      </w:r>
      <w:r>
        <w:rPr>
          <w:spacing w:val="80"/>
        </w:rPr>
        <w:t> </w:t>
      </w:r>
      <w:r>
        <w:rPr/>
        <w:t>sumber</w:t>
      </w:r>
      <w:r>
        <w:rPr>
          <w:spacing w:val="80"/>
        </w:rPr>
        <w:t> </w:t>
      </w:r>
      <w:r>
        <w:rPr/>
        <w:t>daya</w:t>
      </w:r>
      <w:r>
        <w:rPr>
          <w:spacing w:val="80"/>
        </w:rPr>
        <w:t> </w:t>
      </w:r>
      <w:r>
        <w:rPr/>
        <w:t>dan</w:t>
      </w:r>
      <w:r>
        <w:rPr>
          <w:spacing w:val="80"/>
        </w:rPr>
        <w:t> </w:t>
      </w:r>
      <w:r>
        <w:rPr/>
        <w:t>menciptakan</w:t>
      </w:r>
      <w:r>
        <w:rPr>
          <w:spacing w:val="80"/>
        </w:rPr>
        <w:t> </w:t>
      </w:r>
      <w:r>
        <w:rPr/>
        <w:t>kesejahteraan</w:t>
      </w:r>
    </w:p>
    <w:p>
      <w:pPr>
        <w:pStyle w:val="BodyText"/>
        <w:spacing w:after="0"/>
        <w:jc w:val="both"/>
        <w:sectPr>
          <w:pgSz w:w="11910" w:h="16840"/>
          <w:pgMar w:header="795" w:footer="0" w:top="1080" w:bottom="280" w:left="1700" w:right="1559"/>
        </w:sectPr>
      </w:pPr>
    </w:p>
    <w:p>
      <w:pPr>
        <w:pStyle w:val="BodyText"/>
      </w:pPr>
    </w:p>
    <w:p>
      <w:pPr>
        <w:pStyle w:val="BodyText"/>
      </w:pPr>
    </w:p>
    <w:p>
      <w:pPr>
        <w:pStyle w:val="BodyText"/>
      </w:pPr>
    </w:p>
    <w:p>
      <w:pPr>
        <w:pStyle w:val="BodyText"/>
        <w:spacing w:before="50"/>
      </w:pPr>
    </w:p>
    <w:p>
      <w:pPr>
        <w:pStyle w:val="BodyText"/>
        <w:ind w:left="568" w:right="137"/>
        <w:jc w:val="both"/>
      </w:pPr>
      <w:r>
        <w:rPr/>
        <w:t>pemegang saham (Brigham &amp; Houston, 2019). Salah satu ukuran yang umum digunakan adalah </w:t>
      </w:r>
      <w:r>
        <w:rPr>
          <w:i/>
        </w:rPr>
        <w:t>Price to Book Value </w:t>
      </w:r>
      <w:r>
        <w:rPr/>
        <w:t>(PBV), yaitu perbandingan harga pasar saham dengan nilai buku per saham (Gitman &amp; Zutter, 2015). PBV yang tinggi menunjukkan penilaian pasar yang positif terhadap prospek pertumbuhan dan kinerja perusahaan (Van Horne &amp; Wachowicz, 2005).</w:t>
      </w:r>
    </w:p>
    <w:p>
      <w:pPr>
        <w:pStyle w:val="Heading1"/>
        <w:spacing w:before="238"/>
      </w:pPr>
      <w:bookmarkStart w:name="PENGEMBANGAN HIPOTESIS" w:id="13"/>
      <w:bookmarkEnd w:id="13"/>
      <w:r>
        <w:rPr>
          <w:b w:val="0"/>
        </w:rPr>
      </w:r>
      <w:r>
        <w:rPr/>
        <w:t>PENGEMBANGAN</w:t>
      </w:r>
      <w:r>
        <w:rPr>
          <w:spacing w:val="-14"/>
        </w:rPr>
        <w:t> </w:t>
      </w:r>
      <w:r>
        <w:rPr>
          <w:spacing w:val="-2"/>
        </w:rPr>
        <w:t>HIPOTESIS</w:t>
      </w:r>
    </w:p>
    <w:p>
      <w:pPr>
        <w:pStyle w:val="Heading2"/>
      </w:pPr>
      <w:bookmarkStart w:name="Pengaruh Profitabilitas Terhadap Nilai P" w:id="14"/>
      <w:bookmarkEnd w:id="14"/>
      <w:r>
        <w:rPr>
          <w:b w:val="0"/>
        </w:rPr>
      </w:r>
      <w:r>
        <w:rPr>
          <w:spacing w:val="-2"/>
        </w:rPr>
        <w:t>Pengaruh</w:t>
      </w:r>
      <w:r>
        <w:rPr>
          <w:spacing w:val="2"/>
        </w:rPr>
        <w:t> </w:t>
      </w:r>
      <w:r>
        <w:rPr>
          <w:spacing w:val="-2"/>
        </w:rPr>
        <w:t>Profitabilitas</w:t>
      </w:r>
      <w:r>
        <w:rPr/>
        <w:t> </w:t>
      </w:r>
      <w:r>
        <w:rPr>
          <w:spacing w:val="-2"/>
        </w:rPr>
        <w:t>Terhadap</w:t>
      </w:r>
      <w:r>
        <w:rPr>
          <w:spacing w:val="3"/>
        </w:rPr>
        <w:t> </w:t>
      </w:r>
      <w:r>
        <w:rPr>
          <w:spacing w:val="-2"/>
        </w:rPr>
        <w:t>Nilai</w:t>
      </w:r>
      <w:r>
        <w:rPr>
          <w:spacing w:val="3"/>
        </w:rPr>
        <w:t> </w:t>
      </w:r>
      <w:r>
        <w:rPr>
          <w:spacing w:val="-2"/>
        </w:rPr>
        <w:t>Perusahaan</w:t>
      </w:r>
    </w:p>
    <w:p>
      <w:pPr>
        <w:pStyle w:val="BodyText"/>
        <w:ind w:left="568" w:right="136" w:firstLine="566"/>
        <w:jc w:val="both"/>
      </w:pPr>
      <w:r>
        <w:rPr/>
        <w:t>Profitabilitas mencerminkan kemampuan perusahaan dalam menghasilkan laba dari aset yang dimiliki. Dalam penelitian ini, profitabilitas diproksikan</w:t>
      </w:r>
      <w:r>
        <w:rPr>
          <w:spacing w:val="40"/>
        </w:rPr>
        <w:t> </w:t>
      </w:r>
      <w:r>
        <w:rPr/>
        <w:t>dengan Return on Assets (ROA) yang menunjukkan efektivitas pemanfaatan aset dalam menghasilkan laba bersih. ROA yang tinggi memberikan sinyal positif kepada investor mengenai prospek kinerja perusahaan, sehingga berpotensi meningkatkan nilai perusahaan sesuai teori sinyal. Hasil penelitian sebelumnya juga menunjukkan bahwa ROA berpengaruh positif signifikan terhadap nilai perusahaan (Pramudianto &amp; Waluyo, 2024; Tambun et al., 2022). Dengan demikian dirumuskan hipotesis sebagai berikut:</w:t>
      </w:r>
    </w:p>
    <w:p>
      <w:pPr>
        <w:pStyle w:val="Heading2"/>
        <w:spacing w:before="1"/>
      </w:pPr>
      <w:r>
        <w:rPr>
          <w:rFonts w:ascii="Cambria Math"/>
          <w:b w:val="0"/>
          <w:vertAlign w:val="subscript"/>
        </w:rPr>
        <w:t>1</w:t>
      </w:r>
      <w:r>
        <w:rPr>
          <w:vertAlign w:val="baseline"/>
        </w:rPr>
        <w:t>:</w:t>
      </w:r>
      <w:r>
        <w:rPr>
          <w:spacing w:val="-14"/>
          <w:vertAlign w:val="baseline"/>
        </w:rPr>
        <w:t> </w:t>
      </w:r>
      <w:r>
        <w:rPr>
          <w:vertAlign w:val="baseline"/>
        </w:rPr>
        <w:t>Profitabilitas</w:t>
      </w:r>
      <w:r>
        <w:rPr>
          <w:spacing w:val="-11"/>
          <w:vertAlign w:val="baseline"/>
        </w:rPr>
        <w:t> </w:t>
      </w:r>
      <w:r>
        <w:rPr>
          <w:vertAlign w:val="baseline"/>
        </w:rPr>
        <w:t>(ROA)</w:t>
      </w:r>
      <w:r>
        <w:rPr>
          <w:spacing w:val="-9"/>
          <w:vertAlign w:val="baseline"/>
        </w:rPr>
        <w:t> </w:t>
      </w:r>
      <w:r>
        <w:rPr>
          <w:vertAlign w:val="baseline"/>
        </w:rPr>
        <w:t>berpengaruh</w:t>
      </w:r>
      <w:r>
        <w:rPr>
          <w:spacing w:val="-12"/>
          <w:vertAlign w:val="baseline"/>
        </w:rPr>
        <w:t> </w:t>
      </w:r>
      <w:r>
        <w:rPr>
          <w:vertAlign w:val="baseline"/>
        </w:rPr>
        <w:t>positif</w:t>
      </w:r>
      <w:r>
        <w:rPr>
          <w:spacing w:val="-11"/>
          <w:vertAlign w:val="baseline"/>
        </w:rPr>
        <w:t> </w:t>
      </w:r>
      <w:r>
        <w:rPr>
          <w:vertAlign w:val="baseline"/>
        </w:rPr>
        <w:t>terhadap</w:t>
      </w:r>
      <w:r>
        <w:rPr>
          <w:spacing w:val="-11"/>
          <w:vertAlign w:val="baseline"/>
        </w:rPr>
        <w:t> </w:t>
      </w:r>
      <w:r>
        <w:rPr>
          <w:vertAlign w:val="baseline"/>
        </w:rPr>
        <w:t>nilai</w:t>
      </w:r>
      <w:r>
        <w:rPr>
          <w:spacing w:val="-13"/>
          <w:vertAlign w:val="baseline"/>
        </w:rPr>
        <w:t> </w:t>
      </w:r>
      <w:r>
        <w:rPr>
          <w:spacing w:val="-2"/>
          <w:vertAlign w:val="baseline"/>
        </w:rPr>
        <w:t>perusahaan.</w:t>
      </w:r>
    </w:p>
    <w:p>
      <w:pPr>
        <w:spacing w:before="241"/>
        <w:ind w:left="568" w:right="0" w:firstLine="0"/>
        <w:jc w:val="both"/>
        <w:rPr>
          <w:b/>
          <w:sz w:val="24"/>
        </w:rPr>
      </w:pPr>
      <w:bookmarkStart w:name="Pengaruh Likuiditas Terhadap Nilai Perus" w:id="15"/>
      <w:bookmarkEnd w:id="15"/>
      <w:r>
        <w:rPr/>
      </w:r>
      <w:r>
        <w:rPr>
          <w:b/>
          <w:sz w:val="24"/>
        </w:rPr>
        <w:t>Pengaruh</w:t>
      </w:r>
      <w:r>
        <w:rPr>
          <w:b/>
          <w:spacing w:val="-15"/>
          <w:sz w:val="24"/>
        </w:rPr>
        <w:t> </w:t>
      </w:r>
      <w:r>
        <w:rPr>
          <w:b/>
          <w:sz w:val="24"/>
        </w:rPr>
        <w:t>Likuiditas</w:t>
      </w:r>
      <w:r>
        <w:rPr>
          <w:b/>
          <w:spacing w:val="-15"/>
          <w:sz w:val="24"/>
        </w:rPr>
        <w:t> </w:t>
      </w:r>
      <w:r>
        <w:rPr>
          <w:b/>
          <w:sz w:val="24"/>
        </w:rPr>
        <w:t>Terhadap</w:t>
      </w:r>
      <w:r>
        <w:rPr>
          <w:b/>
          <w:spacing w:val="-12"/>
          <w:sz w:val="24"/>
        </w:rPr>
        <w:t> </w:t>
      </w:r>
      <w:r>
        <w:rPr>
          <w:b/>
          <w:sz w:val="24"/>
        </w:rPr>
        <w:t>Nilai</w:t>
      </w:r>
      <w:r>
        <w:rPr>
          <w:b/>
          <w:spacing w:val="-14"/>
          <w:sz w:val="24"/>
        </w:rPr>
        <w:t> </w:t>
      </w:r>
      <w:r>
        <w:rPr>
          <w:b/>
          <w:spacing w:val="-2"/>
          <w:sz w:val="24"/>
        </w:rPr>
        <w:t>Perusahaan</w:t>
      </w:r>
    </w:p>
    <w:p>
      <w:pPr>
        <w:pStyle w:val="BodyText"/>
        <w:ind w:left="568" w:right="79" w:firstLine="566"/>
        <w:jc w:val="both"/>
      </w:pPr>
      <w:r>
        <w:rPr/>
        <w:t>Likuiditas menunjukkan kemampuan perusahaan dalam memenuhi</w:t>
      </w:r>
      <w:r>
        <w:rPr>
          <w:spacing w:val="40"/>
        </w:rPr>
        <w:t> </w:t>
      </w:r>
      <w:r>
        <w:rPr/>
        <w:t>kewajiban jangka pendek dan umumnya diukur menggunakan Current Ratio (CR). Tingkat likuiditas yang memadai menjadi sinyal stabilitas keuangan dan keberlangsungan operasional perusahaan. Berdasarkan teori sinyal, rasio likuiditas yang sehat dapat memberikan sinyal positif kepada investor (Kasmir, 2019). Namun, beberapa penelitian terdahulu menemukan bahwa CR tidak berpengaruh signifikan</w:t>
      </w:r>
      <w:r>
        <w:rPr>
          <w:spacing w:val="-5"/>
        </w:rPr>
        <w:t> </w:t>
      </w:r>
      <w:r>
        <w:rPr/>
        <w:t>terhadap</w:t>
      </w:r>
      <w:r>
        <w:rPr>
          <w:spacing w:val="-5"/>
        </w:rPr>
        <w:t> </w:t>
      </w:r>
      <w:r>
        <w:rPr/>
        <w:t>nilai</w:t>
      </w:r>
      <w:r>
        <w:rPr>
          <w:spacing w:val="-7"/>
        </w:rPr>
        <w:t> </w:t>
      </w:r>
      <w:r>
        <w:rPr/>
        <w:t>perusahaan</w:t>
      </w:r>
      <w:r>
        <w:rPr>
          <w:spacing w:val="-3"/>
        </w:rPr>
        <w:t> </w:t>
      </w:r>
      <w:r>
        <w:rPr/>
        <w:t>(Pramudianto</w:t>
      </w:r>
      <w:r>
        <w:rPr>
          <w:spacing w:val="-3"/>
        </w:rPr>
        <w:t> </w:t>
      </w:r>
      <w:r>
        <w:rPr/>
        <w:t>&amp;</w:t>
      </w:r>
      <w:r>
        <w:rPr>
          <w:spacing w:val="-11"/>
        </w:rPr>
        <w:t> </w:t>
      </w:r>
      <w:r>
        <w:rPr/>
        <w:t>Waluyo,</w:t>
      </w:r>
      <w:r>
        <w:rPr>
          <w:spacing w:val="-5"/>
        </w:rPr>
        <w:t> </w:t>
      </w:r>
      <w:r>
        <w:rPr/>
        <w:t>2024;</w:t>
      </w:r>
      <w:r>
        <w:rPr>
          <w:spacing w:val="-9"/>
        </w:rPr>
        <w:t> </w:t>
      </w:r>
      <w:r>
        <w:rPr/>
        <w:t>Tambun</w:t>
      </w:r>
      <w:r>
        <w:rPr>
          <w:spacing w:val="-5"/>
        </w:rPr>
        <w:t> </w:t>
      </w:r>
      <w:r>
        <w:rPr/>
        <w:t>et</w:t>
      </w:r>
      <w:r>
        <w:rPr>
          <w:spacing w:val="-7"/>
        </w:rPr>
        <w:t> </w:t>
      </w:r>
      <w:r>
        <w:rPr/>
        <w:t>al., 2022; Paramita &amp;</w:t>
      </w:r>
      <w:r>
        <w:rPr>
          <w:spacing w:val="-4"/>
        </w:rPr>
        <w:t> </w:t>
      </w:r>
      <w:r>
        <w:rPr/>
        <w:t>Aminah, 2024). Dengan demikian dirumuskan hipotesis sebagai </w:t>
      </w:r>
      <w:r>
        <w:rPr>
          <w:spacing w:val="-2"/>
        </w:rPr>
        <w:t>berikut:</w:t>
      </w:r>
    </w:p>
    <w:p>
      <w:pPr>
        <w:pStyle w:val="Heading2"/>
      </w:pPr>
      <w:r>
        <w:rPr>
          <w:spacing w:val="-2"/>
        </w:rPr>
        <w:t>:</w:t>
      </w:r>
      <w:r>
        <w:rPr>
          <w:spacing w:val="-15"/>
        </w:rPr>
        <w:t> </w:t>
      </w:r>
      <w:r>
        <w:rPr>
          <w:spacing w:val="-2"/>
        </w:rPr>
        <w:t>Likuiditas</w:t>
      </w:r>
      <w:r>
        <w:rPr>
          <w:spacing w:val="-7"/>
        </w:rPr>
        <w:t> </w:t>
      </w:r>
      <w:r>
        <w:rPr>
          <w:spacing w:val="-2"/>
        </w:rPr>
        <w:t>(CR)</w:t>
      </w:r>
      <w:r>
        <w:rPr>
          <w:spacing w:val="-8"/>
        </w:rPr>
        <w:t> </w:t>
      </w:r>
      <w:r>
        <w:rPr>
          <w:spacing w:val="-2"/>
        </w:rPr>
        <w:t>berpengaruh</w:t>
      </w:r>
      <w:r>
        <w:rPr>
          <w:spacing w:val="-8"/>
        </w:rPr>
        <w:t> </w:t>
      </w:r>
      <w:r>
        <w:rPr>
          <w:spacing w:val="-2"/>
        </w:rPr>
        <w:t>positif</w:t>
      </w:r>
      <w:r>
        <w:rPr>
          <w:spacing w:val="-8"/>
        </w:rPr>
        <w:t> </w:t>
      </w:r>
      <w:r>
        <w:rPr>
          <w:spacing w:val="-2"/>
        </w:rPr>
        <w:t>terhadap</w:t>
      </w:r>
      <w:r>
        <w:rPr>
          <w:spacing w:val="-9"/>
        </w:rPr>
        <w:t> </w:t>
      </w:r>
      <w:r>
        <w:rPr>
          <w:spacing w:val="-2"/>
        </w:rPr>
        <w:t>nilai</w:t>
      </w:r>
      <w:r>
        <w:rPr>
          <w:spacing w:val="-11"/>
        </w:rPr>
        <w:t> </w:t>
      </w:r>
      <w:r>
        <w:rPr>
          <w:spacing w:val="-2"/>
        </w:rPr>
        <w:t>perusahaan.</w:t>
      </w:r>
    </w:p>
    <w:p>
      <w:pPr>
        <w:pStyle w:val="BodyText"/>
        <w:spacing w:before="5"/>
        <w:rPr>
          <w:b/>
        </w:rPr>
      </w:pPr>
    </w:p>
    <w:p>
      <w:pPr>
        <w:spacing w:before="0"/>
        <w:ind w:left="568" w:right="0" w:firstLine="0"/>
        <w:jc w:val="both"/>
        <w:rPr>
          <w:b/>
          <w:sz w:val="24"/>
        </w:rPr>
      </w:pPr>
      <w:bookmarkStart w:name="Pengaruh Solvabilitas Terhadap Nilai Per" w:id="16"/>
      <w:bookmarkEnd w:id="16"/>
      <w:r>
        <w:rPr/>
      </w:r>
      <w:r>
        <w:rPr>
          <w:b/>
          <w:sz w:val="24"/>
        </w:rPr>
        <w:t>Pengaruh</w:t>
      </w:r>
      <w:r>
        <w:rPr>
          <w:b/>
          <w:spacing w:val="-7"/>
          <w:sz w:val="24"/>
        </w:rPr>
        <w:t> </w:t>
      </w:r>
      <w:r>
        <w:rPr>
          <w:b/>
          <w:sz w:val="24"/>
        </w:rPr>
        <w:t>Solvabilitas</w:t>
      </w:r>
      <w:r>
        <w:rPr>
          <w:b/>
          <w:spacing w:val="-8"/>
          <w:sz w:val="24"/>
        </w:rPr>
        <w:t> </w:t>
      </w:r>
      <w:r>
        <w:rPr>
          <w:b/>
          <w:sz w:val="24"/>
        </w:rPr>
        <w:t>Terhadap</w:t>
      </w:r>
      <w:r>
        <w:rPr>
          <w:b/>
          <w:spacing w:val="-10"/>
          <w:sz w:val="24"/>
        </w:rPr>
        <w:t> </w:t>
      </w:r>
      <w:r>
        <w:rPr>
          <w:b/>
          <w:sz w:val="24"/>
        </w:rPr>
        <w:t>Nilai</w:t>
      </w:r>
      <w:r>
        <w:rPr>
          <w:b/>
          <w:spacing w:val="-4"/>
          <w:sz w:val="24"/>
        </w:rPr>
        <w:t> </w:t>
      </w:r>
      <w:r>
        <w:rPr>
          <w:b/>
          <w:spacing w:val="-2"/>
          <w:sz w:val="24"/>
        </w:rPr>
        <w:t>Perusahaan</w:t>
      </w:r>
    </w:p>
    <w:p>
      <w:pPr>
        <w:pStyle w:val="BodyText"/>
        <w:ind w:left="568" w:right="79" w:firstLine="566"/>
        <w:jc w:val="both"/>
      </w:pPr>
      <w:r>
        <w:rPr/>
        <w:t>Solvabilitas menunjukkan tingkat penggunaan utang dalam struktur pendanaan perusahaan dan umumnya diukur dengan </w:t>
      </w:r>
      <w:r>
        <w:rPr>
          <w:i/>
        </w:rPr>
        <w:t>Debt to Equity Ratio </w:t>
      </w:r>
      <w:r>
        <w:rPr/>
        <w:t>(DER). Berdasarkan teori sinyal, penggunaan utang yang terkendali dapat menjadi sinyal positif atas kepercayaan manajemen dalam memanfaatkan leverage untuk pertumbuhan, namun DER yang terlalu tinggi meningkatkan risiko keuangan dan dapat menurunkan kepercayaan investor (Brigham &amp; Houston, 2019). Hasil penelitian terdahulu menunjukkan temuan yang beragam, di mana DER berpengaruh positif signifikan terhadap nilai perusahaan (Pramudianto &amp; Waluyo, 2024),</w:t>
      </w:r>
      <w:r>
        <w:rPr>
          <w:spacing w:val="-1"/>
        </w:rPr>
        <w:t> </w:t>
      </w:r>
      <w:r>
        <w:rPr/>
        <w:t>tetapi</w:t>
      </w:r>
      <w:r>
        <w:rPr>
          <w:spacing w:val="-4"/>
        </w:rPr>
        <w:t> </w:t>
      </w:r>
      <w:r>
        <w:rPr/>
        <w:t>juga ditemukan</w:t>
      </w:r>
      <w:r>
        <w:rPr>
          <w:spacing w:val="-1"/>
        </w:rPr>
        <w:t> </w:t>
      </w:r>
      <w:r>
        <w:rPr/>
        <w:t>berpengaruh</w:t>
      </w:r>
      <w:r>
        <w:rPr>
          <w:spacing w:val="-3"/>
        </w:rPr>
        <w:t> </w:t>
      </w:r>
      <w:r>
        <w:rPr/>
        <w:t>negatif signifikan</w:t>
      </w:r>
      <w:r>
        <w:rPr>
          <w:spacing w:val="-1"/>
        </w:rPr>
        <w:t> </w:t>
      </w:r>
      <w:r>
        <w:rPr/>
        <w:t>(Tambun</w:t>
      </w:r>
      <w:r>
        <w:rPr>
          <w:spacing w:val="-3"/>
        </w:rPr>
        <w:t> </w:t>
      </w:r>
      <w:r>
        <w:rPr/>
        <w:t>et al.,</w:t>
      </w:r>
      <w:r>
        <w:rPr>
          <w:spacing w:val="-3"/>
        </w:rPr>
        <w:t> </w:t>
      </w:r>
      <w:r>
        <w:rPr/>
        <w:t>2022). Perbedaan temuan ini menunjukkan bahwa pengaruh DER bersifat kontekstual. Dengan demikian dirumuskan hipotesis sebagai berikut:</w:t>
      </w:r>
    </w:p>
    <w:p>
      <w:pPr>
        <w:pStyle w:val="Heading2"/>
        <w:spacing w:line="446" w:lineRule="auto"/>
        <w:ind w:right="744"/>
      </w:pPr>
      <w:r>
        <w:rPr/>
        <w:t>: Solvabilitas (DER) berpengaruh negatif terhadap nilai perusahaan. Pengaruh Pertumbuhan Aset Terhadap Nilai Perusahaan</w:t>
      </w:r>
    </w:p>
    <w:p>
      <w:pPr>
        <w:pStyle w:val="Heading2"/>
        <w:spacing w:after="0" w:line="446" w:lineRule="auto"/>
        <w:sectPr>
          <w:pgSz w:w="11910" w:h="16840"/>
          <w:pgMar w:header="795" w:footer="0" w:top="1080" w:bottom="280" w:left="1700" w:right="1559"/>
        </w:sectPr>
      </w:pPr>
    </w:p>
    <w:p>
      <w:pPr>
        <w:pStyle w:val="BodyText"/>
        <w:rPr>
          <w:b/>
        </w:rPr>
      </w:pPr>
    </w:p>
    <w:p>
      <w:pPr>
        <w:pStyle w:val="BodyText"/>
        <w:rPr>
          <w:b/>
        </w:rPr>
      </w:pPr>
    </w:p>
    <w:p>
      <w:pPr>
        <w:pStyle w:val="BodyText"/>
        <w:rPr>
          <w:b/>
        </w:rPr>
      </w:pPr>
    </w:p>
    <w:p>
      <w:pPr>
        <w:pStyle w:val="BodyText"/>
        <w:spacing w:before="50"/>
        <w:rPr>
          <w:b/>
        </w:rPr>
      </w:pPr>
    </w:p>
    <w:p>
      <w:pPr>
        <w:pStyle w:val="BodyText"/>
        <w:ind w:left="568" w:right="136" w:firstLine="566"/>
        <w:jc w:val="both"/>
      </w:pPr>
      <w:r>
        <w:rPr/>
        <w:t>Pertumbuhan aset mencerminkan kemampuan perusahaan dalam memperluas kapasitas operasional melalui peningkatan sumber daya ekonomi. Dalam perspektif teori sinyal, kenaikan total aset dipandang sebagai sinyal positif atas komitmen perusahaan terhadap investasi dan pengembangan usaha berkelanjutan (Sumarsan, 2021). Temuan empiris menunjukkan bahwa pertumbuhan aset berhubungan positif dengan nilai perusahaan (Pramudianto &amp; Waluyo, 2024; Tambun et al., 2022). Pada sektor telekomunikasi yang padat modal dan teknologi, pertumbuhan aset menjadi indikator penting dalam menilai daya saing dan prospek ekspansi. Oleh karena itu dirumuskan hipotesis sebagai </w:t>
      </w:r>
      <w:r>
        <w:rPr>
          <w:spacing w:val="-2"/>
        </w:rPr>
        <w:t>berikut:</w:t>
      </w:r>
    </w:p>
    <w:p>
      <w:pPr>
        <w:spacing w:before="0"/>
        <w:ind w:left="568" w:right="0" w:firstLine="0"/>
        <w:jc w:val="both"/>
        <w:rPr>
          <w:b/>
          <w:sz w:val="24"/>
        </w:rPr>
      </w:pPr>
      <w:r>
        <w:rPr>
          <w:b/>
          <w:spacing w:val="-2"/>
          <w:sz w:val="24"/>
        </w:rPr>
        <w:t>:</w:t>
      </w:r>
      <w:r>
        <w:rPr>
          <w:b/>
          <w:spacing w:val="-15"/>
          <w:sz w:val="24"/>
        </w:rPr>
        <w:t> </w:t>
      </w:r>
      <w:r>
        <w:rPr>
          <w:b/>
          <w:spacing w:val="-2"/>
          <w:sz w:val="24"/>
        </w:rPr>
        <w:t>Pertumbuhan</w:t>
      </w:r>
      <w:r>
        <w:rPr>
          <w:b/>
          <w:spacing w:val="-7"/>
          <w:sz w:val="24"/>
        </w:rPr>
        <w:t> </w:t>
      </w:r>
      <w:r>
        <w:rPr>
          <w:b/>
          <w:spacing w:val="-2"/>
          <w:sz w:val="24"/>
        </w:rPr>
        <w:t>aset</w:t>
      </w:r>
      <w:r>
        <w:rPr>
          <w:b/>
          <w:spacing w:val="-11"/>
          <w:sz w:val="24"/>
        </w:rPr>
        <w:t> </w:t>
      </w:r>
      <w:r>
        <w:rPr>
          <w:b/>
          <w:spacing w:val="-2"/>
          <w:sz w:val="24"/>
        </w:rPr>
        <w:t>berpengaruh</w:t>
      </w:r>
      <w:r>
        <w:rPr>
          <w:b/>
          <w:spacing w:val="-7"/>
          <w:sz w:val="24"/>
        </w:rPr>
        <w:t> </w:t>
      </w:r>
      <w:r>
        <w:rPr>
          <w:b/>
          <w:spacing w:val="-2"/>
          <w:sz w:val="24"/>
        </w:rPr>
        <w:t>positif</w:t>
      </w:r>
      <w:r>
        <w:rPr>
          <w:b/>
          <w:spacing w:val="-8"/>
          <w:sz w:val="24"/>
        </w:rPr>
        <w:t> </w:t>
      </w:r>
      <w:r>
        <w:rPr>
          <w:b/>
          <w:spacing w:val="-2"/>
          <w:sz w:val="24"/>
        </w:rPr>
        <w:t>terhadap</w:t>
      </w:r>
      <w:r>
        <w:rPr>
          <w:b/>
          <w:spacing w:val="-9"/>
          <w:sz w:val="24"/>
        </w:rPr>
        <w:t> </w:t>
      </w:r>
      <w:r>
        <w:rPr>
          <w:b/>
          <w:spacing w:val="-2"/>
          <w:sz w:val="24"/>
        </w:rPr>
        <w:t>nilai</w:t>
      </w:r>
      <w:r>
        <w:rPr>
          <w:b/>
          <w:spacing w:val="-6"/>
          <w:sz w:val="24"/>
        </w:rPr>
        <w:t> </w:t>
      </w:r>
      <w:r>
        <w:rPr>
          <w:b/>
          <w:spacing w:val="-2"/>
          <w:sz w:val="24"/>
        </w:rPr>
        <w:t>perusahaan.</w:t>
      </w:r>
    </w:p>
    <w:p>
      <w:pPr>
        <w:pStyle w:val="BodyText"/>
        <w:rPr>
          <w:b/>
        </w:rPr>
      </w:pPr>
    </w:p>
    <w:p>
      <w:pPr>
        <w:pStyle w:val="BodyText"/>
        <w:rPr>
          <w:b/>
        </w:rPr>
      </w:pPr>
    </w:p>
    <w:p>
      <w:pPr>
        <w:pStyle w:val="BodyText"/>
        <w:rPr>
          <w:b/>
        </w:rPr>
      </w:pPr>
    </w:p>
    <w:p>
      <w:pPr>
        <w:pStyle w:val="BodyText"/>
        <w:spacing w:before="5"/>
        <w:rPr>
          <w:b/>
        </w:rPr>
      </w:pPr>
    </w:p>
    <w:p>
      <w:pPr>
        <w:pStyle w:val="Heading1"/>
      </w:pPr>
      <w:bookmarkStart w:name="METODE PENELITIAN" w:id="17"/>
      <w:bookmarkEnd w:id="17"/>
      <w:r>
        <w:rPr>
          <w:b w:val="0"/>
        </w:rPr>
      </w:r>
      <w:r>
        <w:rPr/>
        <w:t>METODE</w:t>
      </w:r>
      <w:r>
        <w:rPr>
          <w:spacing w:val="-11"/>
        </w:rPr>
        <w:t> </w:t>
      </w:r>
      <w:r>
        <w:rPr>
          <w:spacing w:val="-2"/>
        </w:rPr>
        <w:t>PENELITIAN</w:t>
      </w:r>
    </w:p>
    <w:p>
      <w:pPr>
        <w:pStyle w:val="Heading2"/>
      </w:pPr>
      <w:bookmarkStart w:name="Jenis Penelitian" w:id="18"/>
      <w:bookmarkEnd w:id="18"/>
      <w:r>
        <w:rPr>
          <w:b w:val="0"/>
        </w:rPr>
      </w:r>
      <w:r>
        <w:rPr/>
        <w:t>Jenis</w:t>
      </w:r>
      <w:r>
        <w:rPr>
          <w:spacing w:val="-6"/>
        </w:rPr>
        <w:t> </w:t>
      </w:r>
      <w:r>
        <w:rPr>
          <w:spacing w:val="-2"/>
        </w:rPr>
        <w:t>Penelitian</w:t>
      </w:r>
    </w:p>
    <w:p>
      <w:pPr>
        <w:pStyle w:val="BodyText"/>
        <w:ind w:left="568" w:right="142" w:firstLine="566"/>
        <w:jc w:val="both"/>
      </w:pPr>
      <w:r>
        <w:rPr/>
        <w:t>Penelitian ini menggunakan pendekatan deskriptif-verifikatif. Pendekatan kuantitatif ini dipilih guna mengukur data berangka dan mengidentifikasi keterkaitan antar variabel (Sugiyono, 2022).</w:t>
      </w:r>
    </w:p>
    <w:p>
      <w:pPr>
        <w:pStyle w:val="BodyText"/>
      </w:pPr>
    </w:p>
    <w:p>
      <w:pPr>
        <w:pStyle w:val="Heading2"/>
        <w:ind w:right="2897"/>
      </w:pPr>
      <w:bookmarkStart w:name="Ukuran Populasi dan Teknik Pengambilan S" w:id="19"/>
      <w:bookmarkEnd w:id="19"/>
      <w:r>
        <w:rPr>
          <w:b w:val="0"/>
        </w:rPr>
      </w:r>
      <w:r>
        <w:rPr/>
        <w:t>Ukuran</w:t>
      </w:r>
      <w:r>
        <w:rPr>
          <w:spacing w:val="-13"/>
        </w:rPr>
        <w:t> </w:t>
      </w:r>
      <w:r>
        <w:rPr/>
        <w:t>Populasi</w:t>
      </w:r>
      <w:r>
        <w:rPr>
          <w:spacing w:val="-13"/>
        </w:rPr>
        <w:t> </w:t>
      </w:r>
      <w:r>
        <w:rPr/>
        <w:t>dan</w:t>
      </w:r>
      <w:r>
        <w:rPr>
          <w:spacing w:val="-14"/>
        </w:rPr>
        <w:t> </w:t>
      </w:r>
      <w:r>
        <w:rPr/>
        <w:t>Teknik</w:t>
      </w:r>
      <w:r>
        <w:rPr>
          <w:spacing w:val="-13"/>
        </w:rPr>
        <w:t> </w:t>
      </w:r>
      <w:r>
        <w:rPr/>
        <w:t>Pengambilan</w:t>
      </w:r>
      <w:r>
        <w:rPr>
          <w:spacing w:val="-11"/>
        </w:rPr>
        <w:t> </w:t>
      </w:r>
      <w:r>
        <w:rPr/>
        <w:t>Sampel Jenis Data Penelitian</w:t>
      </w:r>
    </w:p>
    <w:p>
      <w:pPr>
        <w:pStyle w:val="BodyText"/>
        <w:ind w:left="568" w:right="141" w:firstLine="566"/>
        <w:jc w:val="both"/>
      </w:pPr>
      <w:r>
        <w:rPr/>
        <w:t>Penelitian ini menggunakan data sekunder yang diperoleh dari laporan keuangan tahunan perusahaan subsektor telekomunikasi yang terdaftar di Bursa Efek Indonesia (BEI). Data pendukung berupa harga saham dan informasi keuangan lainnya diperoleh dari situs resmi perusahaan dan basis data pasar seperti Yahoo Finance. Populasinya perusahaan sektor teknologi yang ada di BEI. Teknik pengambilan sampel memakai </w:t>
      </w:r>
      <w:r>
        <w:rPr>
          <w:i/>
        </w:rPr>
        <w:t>purposive sampling</w:t>
      </w:r>
      <w:r>
        <w:rPr/>
        <w:t>. Sampelnya adalah semua perusahaan subsektor telekomunikasi yang memiliki laporan keuangan yang lengkap di rentang waktu 2020-2024.</w:t>
      </w:r>
    </w:p>
    <w:p>
      <w:pPr>
        <w:pStyle w:val="Heading2"/>
        <w:spacing w:before="241"/>
      </w:pPr>
      <w:bookmarkStart w:name="Profitabilitas (X1)" w:id="20"/>
      <w:bookmarkEnd w:id="20"/>
      <w:r>
        <w:rPr>
          <w:b w:val="0"/>
        </w:rPr>
      </w:r>
      <w:r>
        <w:rPr>
          <w:spacing w:val="-2"/>
        </w:rPr>
        <w:t>Profitabilitas</w:t>
      </w:r>
      <w:r>
        <w:rPr>
          <w:spacing w:val="8"/>
        </w:rPr>
        <w:t> </w:t>
      </w:r>
      <w:r>
        <w:rPr>
          <w:spacing w:val="-4"/>
        </w:rPr>
        <w:t>(X1)</w:t>
      </w:r>
    </w:p>
    <w:p>
      <w:pPr>
        <w:pStyle w:val="BodyText"/>
        <w:ind w:left="568" w:right="139" w:firstLine="566"/>
        <w:jc w:val="both"/>
      </w:pPr>
      <w:r>
        <w:rPr/>
        <w:t>Menurut Kasmir (2019) menjelaskan bahwa profitabilitas itu digunakan untuk mengukur sejauh mana korporat tersebut mampu memberikan</w:t>
      </w:r>
      <w:r>
        <w:rPr>
          <w:spacing w:val="40"/>
        </w:rPr>
        <w:t> </w:t>
      </w:r>
      <w:r>
        <w:rPr/>
        <w:t>pengembalian kepada pemegang saham dari modal yang telah diinvestasikan. Salah satu rasio yang biasanya diterapkan guna menilai profitabilitas ialah </w:t>
      </w:r>
      <w:r>
        <w:rPr>
          <w:i/>
        </w:rPr>
        <w:t>Return on Assets </w:t>
      </w:r>
      <w:r>
        <w:rPr/>
        <w:t>(ROA). Menurut Rasdianto (2019):</w:t>
      </w:r>
    </w:p>
    <w:p>
      <w:pPr>
        <w:pStyle w:val="BodyText"/>
        <w:spacing w:line="167" w:lineRule="exact"/>
        <w:ind w:left="1158"/>
        <w:jc w:val="center"/>
        <w:rPr>
          <w:rFonts w:ascii="Cambria Math" w:hAnsi="Cambria Math" w:eastAsia="Cambria Math"/>
        </w:rPr>
      </w:pPr>
      <w:r>
        <w:rPr>
          <w:rFonts w:ascii="Cambria Math" w:hAnsi="Cambria Math" w:eastAsia="Cambria Math"/>
          <w:w w:val="40"/>
        </w:rPr>
        <w:t/>
      </w:r>
      <w:r>
        <w:rPr>
          <w:rFonts w:ascii="Cambria Math" w:hAnsi="Cambria Math" w:eastAsia="Cambria Math"/>
          <w:spacing w:val="-12"/>
        </w:rPr>
        <w:t> </w:t>
      </w:r>
      <w:r>
        <w:rPr>
          <w:rFonts w:ascii="Cambria Math" w:hAnsi="Cambria Math" w:eastAsia="Cambria Math"/>
          <w:spacing w:val="-5"/>
          <w:w w:val="60"/>
        </w:rPr>
        <w:t>𝑠ℎ</w:t>
      </w:r>
    </w:p>
    <w:p>
      <w:pPr>
        <w:pStyle w:val="BodyText"/>
        <w:tabs>
          <w:tab w:pos="2155" w:val="left" w:leader="none"/>
        </w:tabs>
        <w:spacing w:line="182" w:lineRule="exact"/>
        <w:ind w:left="1149"/>
        <w:jc w:val="center"/>
        <w:rPr>
          <w:rFonts w:ascii="Cambria Math" w:eastAsia="Cambria Math"/>
        </w:rPr>
      </w:pPr>
      <w:r>
        <w:rPr>
          <w:rFonts w:ascii="Cambria Math" w:eastAsia="Cambria Math"/>
          <w:w w:val="55"/>
        </w:rPr>
        <w:t/>
      </w:r>
      <w:r>
        <w:rPr>
          <w:spacing w:val="-14"/>
          <w:u w:val="single"/>
        </w:rPr>
        <w:t> </w:t>
      </w:r>
      <w:r>
        <w:rPr>
          <w:rFonts w:ascii="Cambria Math" w:eastAsia="Cambria Math"/>
          <w:spacing w:val="-10"/>
          <w:w w:val="75"/>
          <w:u w:val="single"/>
        </w:rPr>
        <w:t>=</w:t>
      </w:r>
      <w:r>
        <w:rPr>
          <w:rFonts w:ascii="Cambria Math" w:eastAsia="Cambria Math"/>
          <w:u w:val="single"/>
        </w:rPr>
        <w:tab/>
      </w:r>
      <w:r>
        <w:rPr>
          <w:rFonts w:ascii="Cambria Math" w:eastAsia="Cambria Math"/>
          <w:spacing w:val="-4"/>
          <w:w w:val="75"/>
          <w:u w:val="single"/>
        </w:rPr>
        <w:t>100%</w:t>
      </w:r>
    </w:p>
    <w:p>
      <w:pPr>
        <w:spacing w:line="219" w:lineRule="exact" w:before="0"/>
        <w:ind w:left="1237" w:right="0" w:firstLine="0"/>
        <w:jc w:val="center"/>
        <w:rPr>
          <w:rFonts w:ascii="Cambria Math" w:eastAsia="Cambria Math"/>
          <w:sz w:val="24"/>
        </w:rPr>
      </w:pPr>
      <w:r>
        <w:rPr>
          <w:rFonts w:ascii="Cambria Math" w:eastAsia="Cambria Math"/>
          <w:w w:val="30"/>
          <w:sz w:val="24"/>
        </w:rPr>
        <w:t/>
      </w:r>
      <w:r>
        <w:rPr>
          <w:rFonts w:ascii="Cambria Math" w:eastAsia="Cambria Math"/>
          <w:spacing w:val="22"/>
          <w:sz w:val="24"/>
        </w:rPr>
        <w:t> </w:t>
      </w:r>
      <w:r>
        <w:rPr>
          <w:rFonts w:ascii="Cambria Math" w:eastAsia="Cambria Math"/>
          <w:spacing w:val="-5"/>
          <w:w w:val="55"/>
          <w:sz w:val="24"/>
        </w:rPr>
        <w:t>𝑠</w:t>
      </w:r>
    </w:p>
    <w:p>
      <w:pPr>
        <w:pStyle w:val="BodyText"/>
        <w:spacing w:line="257" w:lineRule="exact"/>
        <w:ind w:left="1134"/>
      </w:pPr>
      <w:r>
        <w:rPr/>
        <w:t>Jika</w:t>
      </w:r>
      <w:r>
        <w:rPr>
          <w:spacing w:val="25"/>
        </w:rPr>
        <w:t> </w:t>
      </w:r>
      <w:r>
        <w:rPr/>
        <w:t>semakin</w:t>
      </w:r>
      <w:r>
        <w:rPr>
          <w:spacing w:val="34"/>
        </w:rPr>
        <w:t> </w:t>
      </w:r>
      <w:r>
        <w:rPr/>
        <w:t>tinggi</w:t>
      </w:r>
      <w:r>
        <w:rPr>
          <w:spacing w:val="29"/>
        </w:rPr>
        <w:t> </w:t>
      </w:r>
      <w:r>
        <w:rPr/>
        <w:t>nilai</w:t>
      </w:r>
      <w:r>
        <w:rPr>
          <w:spacing w:val="32"/>
        </w:rPr>
        <w:t> </w:t>
      </w:r>
      <w:r>
        <w:rPr/>
        <w:t>ROA,</w:t>
      </w:r>
      <w:r>
        <w:rPr>
          <w:spacing w:val="26"/>
        </w:rPr>
        <w:t> </w:t>
      </w:r>
      <w:r>
        <w:rPr/>
        <w:t>maka</w:t>
      </w:r>
      <w:r>
        <w:rPr>
          <w:spacing w:val="33"/>
        </w:rPr>
        <w:t> </w:t>
      </w:r>
      <w:r>
        <w:rPr/>
        <w:t>akan</w:t>
      </w:r>
      <w:r>
        <w:rPr>
          <w:spacing w:val="34"/>
        </w:rPr>
        <w:t> </w:t>
      </w:r>
      <w:r>
        <w:rPr/>
        <w:t>semakin</w:t>
      </w:r>
      <w:r>
        <w:rPr>
          <w:spacing w:val="29"/>
        </w:rPr>
        <w:t> </w:t>
      </w:r>
      <w:r>
        <w:rPr/>
        <w:t>efisien</w:t>
      </w:r>
      <w:r>
        <w:rPr>
          <w:spacing w:val="34"/>
        </w:rPr>
        <w:t> </w:t>
      </w:r>
      <w:r>
        <w:rPr/>
        <w:t>korporasi</w:t>
      </w:r>
      <w:r>
        <w:rPr>
          <w:spacing w:val="33"/>
        </w:rPr>
        <w:t> </w:t>
      </w:r>
      <w:r>
        <w:rPr>
          <w:spacing w:val="-4"/>
        </w:rPr>
        <w:t>saat</w:t>
      </w:r>
    </w:p>
    <w:p>
      <w:pPr>
        <w:pStyle w:val="BodyText"/>
        <w:ind w:left="568"/>
      </w:pPr>
      <w:r>
        <w:rPr/>
        <w:t>menggunakan</w:t>
      </w:r>
      <w:r>
        <w:rPr>
          <w:spacing w:val="-2"/>
        </w:rPr>
        <w:t> </w:t>
      </w:r>
      <w:r>
        <w:rPr/>
        <w:t>asetnya,</w:t>
      </w:r>
      <w:r>
        <w:rPr>
          <w:spacing w:val="-4"/>
        </w:rPr>
        <w:t> </w:t>
      </w:r>
      <w:r>
        <w:rPr/>
        <w:t>dan</w:t>
      </w:r>
      <w:r>
        <w:rPr>
          <w:spacing w:val="-2"/>
        </w:rPr>
        <w:t> </w:t>
      </w:r>
      <w:r>
        <w:rPr/>
        <w:t>hal</w:t>
      </w:r>
      <w:r>
        <w:rPr>
          <w:spacing w:val="-4"/>
        </w:rPr>
        <w:t> </w:t>
      </w:r>
      <w:r>
        <w:rPr/>
        <w:t>ini</w:t>
      </w:r>
      <w:r>
        <w:rPr>
          <w:spacing w:val="-6"/>
        </w:rPr>
        <w:t> </w:t>
      </w:r>
      <w:r>
        <w:rPr/>
        <w:t>bisa</w:t>
      </w:r>
      <w:r>
        <w:rPr>
          <w:spacing w:val="-3"/>
        </w:rPr>
        <w:t> </w:t>
      </w:r>
      <w:r>
        <w:rPr/>
        <w:t>memberi</w:t>
      </w:r>
      <w:r>
        <w:rPr>
          <w:spacing w:val="-4"/>
        </w:rPr>
        <w:t> </w:t>
      </w:r>
      <w:r>
        <w:rPr/>
        <w:t>sinyal</w:t>
      </w:r>
      <w:r>
        <w:rPr>
          <w:spacing w:val="-2"/>
        </w:rPr>
        <w:t> </w:t>
      </w:r>
      <w:r>
        <w:rPr/>
        <w:t>yang</w:t>
      </w:r>
      <w:r>
        <w:rPr>
          <w:spacing w:val="-4"/>
        </w:rPr>
        <w:t> </w:t>
      </w:r>
      <w:r>
        <w:rPr/>
        <w:t>positif</w:t>
      </w:r>
      <w:r>
        <w:rPr>
          <w:spacing w:val="-5"/>
        </w:rPr>
        <w:t> </w:t>
      </w:r>
      <w:r>
        <w:rPr/>
        <w:t>bagi</w:t>
      </w:r>
      <w:r>
        <w:rPr>
          <w:spacing w:val="-4"/>
        </w:rPr>
        <w:t> </w:t>
      </w:r>
      <w:r>
        <w:rPr/>
        <w:t>investor (Pramudianto &amp; Waluyo, 2024).</w:t>
      </w:r>
    </w:p>
    <w:p>
      <w:pPr>
        <w:pStyle w:val="Heading2"/>
        <w:spacing w:before="261"/>
        <w:jc w:val="left"/>
      </w:pPr>
      <w:bookmarkStart w:name="Likuiditas (X2)" w:id="21"/>
      <w:bookmarkEnd w:id="21"/>
      <w:r>
        <w:rPr>
          <w:b w:val="0"/>
        </w:rPr>
      </w:r>
      <w:r>
        <w:rPr/>
        <w:t>Likuiditas</w:t>
      </w:r>
      <w:r>
        <w:rPr>
          <w:spacing w:val="-12"/>
        </w:rPr>
        <w:t> </w:t>
      </w:r>
      <w:r>
        <w:rPr>
          <w:spacing w:val="-4"/>
        </w:rPr>
        <w:t>(X2)</w:t>
      </w:r>
    </w:p>
    <w:p>
      <w:pPr>
        <w:pStyle w:val="Heading2"/>
        <w:spacing w:after="0"/>
        <w:jc w:val="left"/>
        <w:sectPr>
          <w:pgSz w:w="11910" w:h="16840"/>
          <w:pgMar w:header="795" w:footer="0" w:top="1080" w:bottom="280" w:left="1700" w:right="1559"/>
        </w:sectPr>
      </w:pPr>
    </w:p>
    <w:p>
      <w:pPr>
        <w:pStyle w:val="BodyText"/>
        <w:rPr>
          <w:b/>
        </w:rPr>
      </w:pPr>
    </w:p>
    <w:p>
      <w:pPr>
        <w:pStyle w:val="BodyText"/>
        <w:rPr>
          <w:b/>
        </w:rPr>
      </w:pPr>
    </w:p>
    <w:p>
      <w:pPr>
        <w:pStyle w:val="BodyText"/>
        <w:rPr>
          <w:b/>
        </w:rPr>
      </w:pPr>
    </w:p>
    <w:p>
      <w:pPr>
        <w:pStyle w:val="BodyText"/>
        <w:spacing w:before="14"/>
        <w:rPr>
          <w:b/>
        </w:rPr>
      </w:pPr>
    </w:p>
    <w:p>
      <w:pPr>
        <w:pStyle w:val="BodyText"/>
        <w:ind w:left="568" w:right="140" w:firstLine="566"/>
        <w:jc w:val="both"/>
      </w:pPr>
      <w:r>
        <w:rPr/>
        <w:t>Menurut Kasmir (2019), rasio likuiditas mengukur sejauh mana aset lancar perusahaan bisa menbayar kewajiban lancar. Tingkat likuiditas yang memadai menunjukkan stabilitas keuangan perusahaan dan kemampuan menjaga kepercayaan kreditor maupun investor. Rasio yang umum digunakan adalah </w:t>
      </w:r>
      <w:r>
        <w:rPr>
          <w:i/>
        </w:rPr>
        <w:t>Curret Ratio </w:t>
      </w:r>
      <w:r>
        <w:rPr/>
        <w:t>(CR), dengan rumus sebagai berikut:</w:t>
      </w:r>
    </w:p>
    <w:p>
      <w:pPr>
        <w:spacing w:line="178" w:lineRule="exact" w:before="0"/>
        <w:ind w:left="253" w:right="0" w:firstLine="0"/>
        <w:jc w:val="center"/>
        <w:rPr>
          <w:rFonts w:ascii="Cambria Math" w:eastAsia="Cambria Math"/>
          <w:sz w:val="24"/>
        </w:rPr>
      </w:pPr>
      <w:r>
        <w:rPr>
          <w:rFonts w:ascii="Cambria Math" w:eastAsia="Cambria Math"/>
          <w:w w:val="45"/>
          <w:sz w:val="24"/>
        </w:rPr>
        <w:t>𝑠</w:t>
      </w:r>
      <w:r>
        <w:rPr>
          <w:rFonts w:ascii="Cambria Math" w:eastAsia="Cambria Math"/>
          <w:sz w:val="24"/>
        </w:rPr>
        <w:t> </w:t>
      </w:r>
      <w:r>
        <w:rPr>
          <w:rFonts w:ascii="Cambria Math" w:eastAsia="Cambria Math"/>
          <w:spacing w:val="-5"/>
          <w:w w:val="50"/>
          <w:sz w:val="24"/>
        </w:rPr>
        <w:t/>
      </w:r>
    </w:p>
    <w:p>
      <w:pPr>
        <w:pStyle w:val="BodyText"/>
        <w:tabs>
          <w:tab w:pos="3845" w:val="left" w:leader="none"/>
          <w:tab w:pos="5868" w:val="left" w:leader="none"/>
        </w:tabs>
        <w:spacing w:line="223" w:lineRule="exact"/>
        <w:ind w:left="3188"/>
        <w:rPr>
          <w:rFonts w:ascii="Cambria Math"/>
        </w:rPr>
      </w:pPr>
      <w:r>
        <w:rPr>
          <w:rFonts w:ascii="Cambria Math"/>
          <w:spacing w:val="-10"/>
          <w:position w:val="6"/>
        </w:rPr>
        <w:t>=</w:t>
      </w:r>
      <w:r>
        <w:rPr>
          <w:rFonts w:ascii="Cambria Math"/>
          <w:position w:val="6"/>
        </w:rPr>
        <w:tab/>
      </w:r>
      <w:r>
        <w:rPr>
          <w:position w:val="6"/>
          <w:u w:val="single"/>
        </w:rPr>
        <w:tab/>
      </w:r>
      <w:r>
        <w:rPr>
          <w:spacing w:val="-21"/>
          <w:position w:val="6"/>
        </w:rPr>
        <w:t> </w:t>
      </w:r>
      <w:r>
        <w:rPr>
          <w:rFonts w:ascii="Cambria Math"/>
        </w:rPr>
        <w:t>100%</w:t>
      </w:r>
    </w:p>
    <w:p>
      <w:pPr>
        <w:spacing w:line="218" w:lineRule="exact" w:before="0"/>
        <w:ind w:left="0" w:right="363" w:firstLine="0"/>
        <w:jc w:val="center"/>
        <w:rPr>
          <w:rFonts w:ascii="Cambria Math" w:eastAsia="Cambria Math"/>
          <w:sz w:val="24"/>
        </w:rPr>
      </w:pPr>
      <w:r>
        <w:rPr>
          <w:rFonts w:ascii="Cambria Math" w:eastAsia="Cambria Math"/>
          <w:w w:val="35"/>
          <w:sz w:val="24"/>
        </w:rPr>
        <w:t/>
      </w:r>
      <w:r>
        <w:rPr>
          <w:rFonts w:ascii="Cambria Math" w:eastAsia="Cambria Math"/>
          <w:spacing w:val="20"/>
          <w:sz w:val="24"/>
        </w:rPr>
        <w:t> </w:t>
      </w:r>
      <w:r>
        <w:rPr>
          <w:rFonts w:ascii="Cambria Math" w:eastAsia="Cambria Math"/>
          <w:spacing w:val="-5"/>
          <w:w w:val="45"/>
          <w:sz w:val="24"/>
        </w:rPr>
        <w:t/>
      </w:r>
    </w:p>
    <w:p>
      <w:pPr>
        <w:pStyle w:val="BodyText"/>
        <w:ind w:left="568" w:right="139" w:firstLine="566"/>
        <w:jc w:val="both"/>
      </w:pPr>
      <w:r>
        <w:rPr/>
        <w:t>Nilai CR yang tinggi menggambarkan kekuatan korporat melunasi kewajiban jangka pendeknya, namun CR yang terlalu tinggi bisa menandakan adanya dana menganggur yang kurang produktif (Rasdianto, 2019).</w:t>
      </w:r>
    </w:p>
    <w:p>
      <w:pPr>
        <w:pStyle w:val="Heading2"/>
        <w:spacing w:before="236"/>
      </w:pPr>
      <w:bookmarkStart w:name="Solvabilitas (X3)" w:id="22"/>
      <w:bookmarkEnd w:id="22"/>
      <w:r>
        <w:rPr>
          <w:b w:val="0"/>
        </w:rPr>
      </w:r>
      <w:r>
        <w:rPr/>
        <w:t>Solvabilitas</w:t>
      </w:r>
      <w:r>
        <w:rPr>
          <w:spacing w:val="-13"/>
        </w:rPr>
        <w:t> </w:t>
      </w:r>
      <w:r>
        <w:rPr>
          <w:spacing w:val="-4"/>
        </w:rPr>
        <w:t>(X3)</w:t>
      </w:r>
    </w:p>
    <w:p>
      <w:pPr>
        <w:pStyle w:val="BodyText"/>
        <w:ind w:left="568" w:right="141" w:firstLine="566"/>
        <w:jc w:val="both"/>
      </w:pPr>
      <w:r>
        <w:rPr/>
        <w:t>Solvabilitas menurut Sumarsan (2021) , menjelaskan sejauh mana korporat tersebut dibiayai oleh utang dibandingkan dengan ekuitasnya. Rasio yang digunakan untuk mengukur solvabilitas adalah </w:t>
      </w:r>
      <w:r>
        <w:rPr>
          <w:i/>
        </w:rPr>
        <w:t>Debt to Equity Ratio </w:t>
      </w:r>
      <w:r>
        <w:rPr/>
        <w:t>(DER):</w:t>
      </w:r>
    </w:p>
    <w:p>
      <w:pPr>
        <w:spacing w:line="152" w:lineRule="exact" w:before="0"/>
        <w:ind w:left="193" w:right="0" w:firstLine="0"/>
        <w:jc w:val="center"/>
        <w:rPr>
          <w:rFonts w:ascii="Cambria Math" w:eastAsia="Cambria Math"/>
          <w:sz w:val="24"/>
        </w:rPr>
      </w:pPr>
      <w:r>
        <w:rPr>
          <w:rFonts w:ascii="Cambria Math" w:eastAsia="Cambria Math"/>
          <w:w w:val="30"/>
          <w:sz w:val="24"/>
        </w:rPr>
        <w:t/>
      </w:r>
      <w:r>
        <w:rPr>
          <w:rFonts w:ascii="Cambria Math" w:eastAsia="Cambria Math"/>
          <w:spacing w:val="22"/>
          <w:sz w:val="24"/>
        </w:rPr>
        <w:t> </w:t>
      </w:r>
      <w:r>
        <w:rPr>
          <w:rFonts w:ascii="Cambria Math" w:eastAsia="Cambria Math"/>
          <w:spacing w:val="-10"/>
          <w:w w:val="40"/>
          <w:sz w:val="24"/>
        </w:rPr>
        <w:t/>
      </w:r>
    </w:p>
    <w:p>
      <w:pPr>
        <w:pStyle w:val="BodyText"/>
        <w:tabs>
          <w:tab w:pos="5010" w:val="left" w:leader="none"/>
        </w:tabs>
        <w:spacing w:line="396" w:lineRule="exact"/>
        <w:ind w:left="3311"/>
        <w:rPr>
          <w:rFonts w:ascii="Cambria Math" w:eastAsia="Cambria Math"/>
          <w:position w:val="14"/>
        </w:rPr>
      </w:pPr>
      <w:r>
        <w:rPr>
          <w:rFonts w:ascii="Cambria Math" w:eastAsia="Cambria Math"/>
          <w:position w:val="14"/>
        </w:rPr>
        <mc:AlternateContent>
          <mc:Choice Requires="wps">
            <w:drawing>
              <wp:anchor distT="0" distB="0" distL="0" distR="0" allowOverlap="1" layoutInCell="1" locked="0" behindDoc="1" simplePos="0" relativeHeight="487139328">
                <wp:simplePos x="0" y="0"/>
                <wp:positionH relativeFrom="page">
                  <wp:posOffset>3738245</wp:posOffset>
                </wp:positionH>
                <wp:positionV relativeFrom="paragraph">
                  <wp:posOffset>98830</wp:posOffset>
                </wp:positionV>
                <wp:extent cx="928369" cy="1016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928369" cy="10160"/>
                        </a:xfrm>
                        <a:custGeom>
                          <a:avLst/>
                          <a:gdLst/>
                          <a:ahLst/>
                          <a:cxnLst/>
                          <a:rect l="l" t="t" r="r" b="b"/>
                          <a:pathLst>
                            <a:path w="928369" h="10160">
                              <a:moveTo>
                                <a:pt x="928115" y="10058"/>
                              </a:moveTo>
                              <a:lnTo>
                                <a:pt x="0" y="10058"/>
                              </a:lnTo>
                              <a:lnTo>
                                <a:pt x="0" y="0"/>
                              </a:lnTo>
                              <a:lnTo>
                                <a:pt x="928115" y="0"/>
                              </a:lnTo>
                              <a:lnTo>
                                <a:pt x="928115" y="1005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4.350006pt;margin-top:7.781891pt;width:73.08pt;height:.792pt;mso-position-horizontal-relative:page;mso-position-vertical-relative:paragraph;z-index:-16177152" id="docshape7" filled="true" fillcolor="#000000" stroked="false">
                <v:fill type="solid"/>
                <w10:wrap type="none"/>
              </v:rect>
            </w:pict>
          </mc:Fallback>
        </mc:AlternateContent>
      </w:r>
      <w:r>
        <w:rPr>
          <w:rFonts w:ascii="Cambria Math" w:eastAsia="Cambria Math"/>
          <w:w w:val="50"/>
          <w:position w:val="18"/>
        </w:rPr>
        <w:t/>
      </w:r>
      <w:r>
        <w:rPr>
          <w:rFonts w:ascii="Cambria Math" w:eastAsia="Cambria Math"/>
          <w:spacing w:val="-4"/>
          <w:position w:val="18"/>
        </w:rPr>
        <w:t> </w:t>
      </w:r>
      <w:r>
        <w:rPr>
          <w:rFonts w:ascii="Cambria Math" w:eastAsia="Cambria Math"/>
          <w:spacing w:val="-10"/>
          <w:w w:val="75"/>
          <w:position w:val="18"/>
        </w:rPr>
        <w:t>=</w:t>
      </w:r>
      <w:r>
        <w:rPr>
          <w:rFonts w:ascii="Cambria Math" w:eastAsia="Cambria Math"/>
          <w:position w:val="18"/>
        </w:rPr>
        <w:tab/>
      </w:r>
      <w:r>
        <w:rPr>
          <w:rFonts w:ascii="Cambria Math" w:eastAsia="Cambria Math"/>
          <w:w w:val="45"/>
        </w:rPr>
        <w:t/>
      </w:r>
      <w:r>
        <w:rPr>
          <w:rFonts w:ascii="Cambria Math" w:eastAsia="Cambria Math"/>
          <w:spacing w:val="56"/>
          <w:w w:val="150"/>
        </w:rPr>
        <w:t> </w:t>
      </w:r>
      <w:r>
        <w:rPr>
          <w:rFonts w:ascii="Cambria Math" w:eastAsia="Cambria Math"/>
          <w:w w:val="45"/>
        </w:rPr>
        <w:t>𝑠</w:t>
      </w:r>
      <w:r>
        <w:rPr>
          <w:rFonts w:ascii="Cambria Math" w:eastAsia="Cambria Math"/>
          <w:spacing w:val="70"/>
          <w:w w:val="150"/>
        </w:rPr>
        <w:t> </w:t>
      </w:r>
      <w:r>
        <w:rPr>
          <w:rFonts w:ascii="Cambria Math" w:eastAsia="Cambria Math"/>
          <w:spacing w:val="-4"/>
          <w:w w:val="45"/>
          <w:position w:val="14"/>
        </w:rPr>
        <w:t>100%</w:t>
      </w:r>
    </w:p>
    <w:p>
      <w:pPr>
        <w:pStyle w:val="BodyText"/>
        <w:ind w:left="568" w:right="141" w:firstLine="566"/>
        <w:jc w:val="both"/>
      </w:pPr>
      <w:r>
        <w:rPr/>
        <w:t>Semakin tinggi DER, semakin besar risiko keuangan yang akan dihadapi perusahaan karena peningkatan beban bunga dan kewajiban jangka panjang (Sumarsan, 2021) . Selain itu, semakin tinggi DER juga menunjukkan ketergantungan pada pendanaan eksternal yang tinggi, dan dapat menurunkan persepsi pasar terhadap kestabilan perusahaan (Tambun </w:t>
      </w:r>
      <w:r>
        <w:rPr>
          <w:i/>
        </w:rPr>
        <w:t>et al</w:t>
      </w:r>
      <w:r>
        <w:rPr/>
        <w:t>., 2022).</w:t>
      </w:r>
    </w:p>
    <w:p>
      <w:pPr>
        <w:pStyle w:val="Heading2"/>
        <w:spacing w:before="225"/>
      </w:pPr>
      <w:bookmarkStart w:name="Pertumbuhan Aset (X4)" w:id="23"/>
      <w:bookmarkEnd w:id="23"/>
      <w:r>
        <w:rPr>
          <w:b w:val="0"/>
        </w:rPr>
      </w:r>
      <w:r>
        <w:rPr/>
        <w:t>Pertumbuhan</w:t>
      </w:r>
      <w:r>
        <w:rPr>
          <w:spacing w:val="-19"/>
        </w:rPr>
        <w:t> </w:t>
      </w:r>
      <w:r>
        <w:rPr/>
        <w:t>Aset</w:t>
      </w:r>
      <w:r>
        <w:rPr>
          <w:spacing w:val="-13"/>
        </w:rPr>
        <w:t> </w:t>
      </w:r>
      <w:r>
        <w:rPr>
          <w:spacing w:val="-4"/>
        </w:rPr>
        <w:t>(X4)</w:t>
      </w:r>
    </w:p>
    <w:p>
      <w:pPr>
        <w:pStyle w:val="BodyText"/>
        <w:ind w:left="568" w:right="136" w:firstLine="566"/>
        <w:jc w:val="both"/>
      </w:pPr>
      <w:r>
        <w:rPr/>
        <w:t>Menurut Sumarsan (2021) , pertumbuhan aset dapat menjadi indikator keberhasilan perusahaan dalam mempertahankan serta meningkatkan kapasitas produksi dan daya saing jangka panjang. Rumus pertumbuhan aset yaitu:</w:t>
      </w:r>
    </w:p>
    <w:p>
      <w:pPr>
        <w:pStyle w:val="BodyText"/>
        <w:spacing w:line="152" w:lineRule="exact"/>
        <w:ind w:left="2696"/>
        <w:rPr>
          <w:rFonts w:ascii="Cambria Math" w:hAnsi="Cambria Math" w:eastAsia="Cambria Math"/>
        </w:rPr>
      </w:pPr>
      <w:r>
        <w:rPr>
          <w:spacing w:val="-14"/>
          <w:u w:val="single"/>
        </w:rPr>
        <w:t> </w:t>
      </w:r>
      <w:r>
        <w:rPr>
          <w:rFonts w:ascii="Cambria Math" w:hAnsi="Cambria Math" w:eastAsia="Cambria Math"/>
          <w:w w:val="40"/>
          <w:u w:val="single"/>
        </w:rPr>
        <w:t/>
      </w:r>
      <w:r>
        <w:rPr>
          <w:rFonts w:ascii="Cambria Math" w:hAnsi="Cambria Math" w:eastAsia="Cambria Math"/>
          <w:spacing w:val="-5"/>
          <w:u w:val="single"/>
        </w:rPr>
        <w:t> </w:t>
      </w:r>
      <w:r>
        <w:rPr>
          <w:rFonts w:ascii="Cambria Math" w:hAnsi="Cambria Math" w:eastAsia="Cambria Math"/>
          <w:w w:val="40"/>
          <w:u w:val="single"/>
        </w:rPr>
        <w:t>𝑠</w:t>
      </w:r>
      <w:r>
        <w:rPr>
          <w:rFonts w:ascii="Cambria Math" w:hAnsi="Cambria Math" w:eastAsia="Cambria Math"/>
          <w:spacing w:val="7"/>
          <w:u w:val="single"/>
        </w:rPr>
        <w:t> </w:t>
      </w:r>
      <w:r>
        <w:rPr>
          <w:rFonts w:ascii="Cambria Math" w:hAnsi="Cambria Math" w:eastAsia="Cambria Math"/>
          <w:w w:val="40"/>
          <w:u w:val="single"/>
        </w:rPr>
        <w:t>−</w:t>
      </w:r>
      <w:r>
        <w:rPr>
          <w:rFonts w:ascii="Cambria Math" w:hAnsi="Cambria Math" w:eastAsia="Cambria Math"/>
          <w:spacing w:val="49"/>
          <w:u w:val="single"/>
        </w:rPr>
        <w:t> </w:t>
      </w:r>
      <w:r>
        <w:rPr>
          <w:rFonts w:ascii="Cambria Math" w:hAnsi="Cambria Math" w:eastAsia="Cambria Math"/>
          <w:w w:val="40"/>
          <w:u w:val="single"/>
        </w:rPr>
        <w:t/>
      </w:r>
      <w:r>
        <w:rPr>
          <w:rFonts w:ascii="Cambria Math" w:hAnsi="Cambria Math" w:eastAsia="Cambria Math"/>
          <w:spacing w:val="-2"/>
          <w:u w:val="single"/>
        </w:rPr>
        <w:t> </w:t>
      </w:r>
      <w:r>
        <w:rPr>
          <w:rFonts w:ascii="Cambria Math" w:hAnsi="Cambria Math" w:eastAsia="Cambria Math"/>
          <w:spacing w:val="-4"/>
          <w:w w:val="40"/>
          <w:u w:val="single"/>
        </w:rPr>
        <w:t>𝑠</w:t>
      </w:r>
      <w:r>
        <w:rPr>
          <w:rFonts w:ascii="Cambria Math" w:hAnsi="Cambria Math" w:eastAsia="Cambria Math"/>
          <w:spacing w:val="-4"/>
          <w:w w:val="40"/>
          <w:u w:val="single"/>
          <w:vertAlign w:val="subscript"/>
        </w:rPr>
        <w:t>−1</w:t>
      </w:r>
    </w:p>
    <w:p>
      <w:pPr>
        <w:pStyle w:val="BodyText"/>
        <w:spacing w:after="0" w:line="152" w:lineRule="exact"/>
        <w:rPr>
          <w:rFonts w:ascii="Cambria Math" w:hAnsi="Cambria Math" w:eastAsia="Cambria Math"/>
        </w:rPr>
        <w:sectPr>
          <w:pgSz w:w="11910" w:h="16840"/>
          <w:pgMar w:header="795" w:footer="0" w:top="1080" w:bottom="280" w:left="1700" w:right="1559"/>
        </w:sectPr>
      </w:pPr>
    </w:p>
    <w:p>
      <w:pPr>
        <w:pStyle w:val="BodyText"/>
        <w:spacing w:line="240" w:lineRule="exact"/>
        <w:ind w:right="38"/>
        <w:jc w:val="right"/>
        <w:rPr>
          <w:rFonts w:ascii="Cambria Math" w:hAnsi="Cambria Math" w:eastAsia="Cambria Math"/>
        </w:rPr>
      </w:pPr>
      <w:r>
        <w:rPr>
          <w:rFonts w:ascii="Cambria Math" w:hAnsi="Cambria Math" w:eastAsia="Cambria Math"/>
          <w:w w:val="45"/>
        </w:rPr>
        <w:t>𝑚ℎ</w:t>
      </w:r>
      <w:r>
        <w:rPr>
          <w:rFonts w:ascii="Cambria Math" w:hAnsi="Cambria Math" w:eastAsia="Cambria Math"/>
          <w:spacing w:val="-5"/>
        </w:rPr>
        <w:t> </w:t>
      </w:r>
      <w:r>
        <w:rPr>
          <w:rFonts w:ascii="Cambria Math" w:hAnsi="Cambria Math" w:eastAsia="Cambria Math"/>
          <w:w w:val="45"/>
        </w:rPr>
        <w:t>𝑠</w:t>
      </w:r>
      <w:r>
        <w:rPr>
          <w:rFonts w:ascii="Cambria Math" w:hAnsi="Cambria Math" w:eastAsia="Cambria Math"/>
          <w:spacing w:val="10"/>
        </w:rPr>
        <w:t> </w:t>
      </w:r>
      <w:r>
        <w:rPr>
          <w:rFonts w:ascii="Cambria Math" w:hAnsi="Cambria Math" w:eastAsia="Cambria Math"/>
          <w:spacing w:val="-10"/>
          <w:w w:val="45"/>
        </w:rPr>
        <w:t>=</w:t>
      </w:r>
    </w:p>
    <w:p>
      <w:pPr>
        <w:pStyle w:val="BodyText"/>
        <w:spacing w:line="266" w:lineRule="exact" w:before="175"/>
        <w:jc w:val="right"/>
        <w:rPr>
          <w:rFonts w:ascii="Cambria Math" w:hAnsi="Cambria Math" w:eastAsia="Cambria Math"/>
        </w:rPr>
      </w:pPr>
      <w:r>
        <w:rPr/>
        <w:br w:type="column"/>
      </w:r>
      <w:r>
        <w:rPr>
          <w:rFonts w:ascii="Cambria Math" w:hAnsi="Cambria Math" w:eastAsia="Cambria Math"/>
          <w:w w:val="30"/>
        </w:rPr>
        <w:t/>
      </w:r>
      <w:r>
        <w:rPr>
          <w:rFonts w:ascii="Cambria Math" w:hAnsi="Cambria Math" w:eastAsia="Cambria Math"/>
          <w:spacing w:val="22"/>
        </w:rPr>
        <w:t> </w:t>
      </w:r>
      <w:r>
        <w:rPr>
          <w:rFonts w:ascii="Cambria Math" w:hAnsi="Cambria Math" w:eastAsia="Cambria Math"/>
          <w:spacing w:val="-4"/>
          <w:w w:val="60"/>
        </w:rPr>
        <w:t>𝑠𝑠</w:t>
      </w:r>
      <w:r>
        <w:rPr>
          <w:rFonts w:ascii="Cambria Math" w:hAnsi="Cambria Math" w:eastAsia="Cambria Math"/>
          <w:spacing w:val="-4"/>
          <w:w w:val="60"/>
          <w:vertAlign w:val="subscript"/>
        </w:rPr>
        <w:t>−1</w:t>
      </w:r>
    </w:p>
    <w:p>
      <w:pPr>
        <w:pStyle w:val="BodyText"/>
        <w:spacing w:before="4"/>
        <w:ind w:right="8"/>
        <w:jc w:val="center"/>
        <w:rPr>
          <w:rFonts w:ascii="Cambria Math"/>
        </w:rPr>
      </w:pPr>
      <w:r>
        <w:rPr/>
        <w:br w:type="column"/>
      </w:r>
      <w:r>
        <w:rPr>
          <w:rFonts w:ascii="Cambria Math"/>
          <w:spacing w:val="-4"/>
        </w:rPr>
        <w:t>100%</w:t>
      </w:r>
    </w:p>
    <w:p>
      <w:pPr>
        <w:pStyle w:val="BodyText"/>
        <w:spacing w:after="0"/>
        <w:jc w:val="center"/>
        <w:rPr>
          <w:rFonts w:ascii="Cambria Math"/>
        </w:rPr>
        <w:sectPr>
          <w:type w:val="continuous"/>
          <w:pgSz w:w="11910" w:h="16840"/>
          <w:pgMar w:header="795" w:footer="0" w:top="1080" w:bottom="280" w:left="1700" w:right="1559"/>
          <w:cols w:num="3" w:equalWidth="0">
            <w:col w:w="2581" w:space="1456"/>
            <w:col w:w="2433" w:space="39"/>
            <w:col w:w="2142"/>
          </w:cols>
        </w:sectPr>
      </w:pPr>
    </w:p>
    <w:p>
      <w:pPr>
        <w:pStyle w:val="BodyText"/>
        <w:ind w:left="568" w:right="141" w:firstLine="566"/>
        <w:jc w:val="both"/>
      </w:pPr>
      <w:r>
        <w:rPr/>
        <w:t>Nilai pertumbuhan aset yang tinggi menunjukkan adanya ekspansi usaha</w:t>
      </w:r>
      <w:r>
        <w:rPr>
          <w:spacing w:val="40"/>
        </w:rPr>
        <w:t> </w:t>
      </w:r>
      <w:r>
        <w:rPr/>
        <w:t>dan potensi peningkatan pendapatan di masa depan. Pertumbuhan asetnya yang tinggi juga akan menjadi sinyal yang positif bagi investor bahwa korporat mempunyai prospek yang baik Paramita &amp; Aminah (2024).</w:t>
      </w:r>
    </w:p>
    <w:p>
      <w:pPr>
        <w:pStyle w:val="Heading2"/>
        <w:spacing w:before="230"/>
      </w:pPr>
      <w:bookmarkStart w:name="Nilai Perusahaan (Y)" w:id="24"/>
      <w:bookmarkEnd w:id="24"/>
      <w:r>
        <w:rPr>
          <w:b w:val="0"/>
        </w:rPr>
      </w:r>
      <w:r>
        <w:rPr/>
        <w:t>Nilai</w:t>
      </w:r>
      <w:r>
        <w:rPr>
          <w:spacing w:val="-9"/>
        </w:rPr>
        <w:t> </w:t>
      </w:r>
      <w:r>
        <w:rPr/>
        <w:t>Perusahaan</w:t>
      </w:r>
      <w:r>
        <w:rPr>
          <w:spacing w:val="-6"/>
        </w:rPr>
        <w:t> </w:t>
      </w:r>
      <w:r>
        <w:rPr>
          <w:spacing w:val="-5"/>
        </w:rPr>
        <w:t>(Y)</w:t>
      </w:r>
    </w:p>
    <w:p>
      <w:pPr>
        <w:pStyle w:val="BodyText"/>
        <w:ind w:left="568" w:right="136" w:firstLine="566"/>
        <w:jc w:val="both"/>
        <w:rPr>
          <w:b/>
        </w:rPr>
      </w:pPr>
      <w:r>
        <w:rPr/>
        <w:t>Menurut Brigham &amp; Houston (2019) , mutu korporasi yang tinggi bisa menggambarkan tingkat kepercayaan investor terhadap prospek korporat di masa mendatang.</w:t>
      </w:r>
      <w:r>
        <w:rPr>
          <w:spacing w:val="-2"/>
        </w:rPr>
        <w:t> </w:t>
      </w:r>
      <w:r>
        <w:rPr/>
        <w:t>Sedangkan</w:t>
      </w:r>
      <w:r>
        <w:rPr>
          <w:spacing w:val="-2"/>
        </w:rPr>
        <w:t> </w:t>
      </w:r>
      <w:r>
        <w:rPr/>
        <w:t>menurut Rasdianto</w:t>
      </w:r>
      <w:r>
        <w:rPr>
          <w:spacing w:val="-4"/>
        </w:rPr>
        <w:t> </w:t>
      </w:r>
      <w:r>
        <w:rPr/>
        <w:t>(2019)</w:t>
      </w:r>
      <w:r>
        <w:rPr>
          <w:spacing w:val="-2"/>
        </w:rPr>
        <w:t> </w:t>
      </w:r>
      <w:r>
        <w:rPr/>
        <w:t>nilai</w:t>
      </w:r>
      <w:r>
        <w:rPr>
          <w:spacing w:val="-4"/>
        </w:rPr>
        <w:t> </w:t>
      </w:r>
      <w:r>
        <w:rPr/>
        <w:t>perusahaan</w:t>
      </w:r>
      <w:r>
        <w:rPr>
          <w:spacing w:val="-2"/>
        </w:rPr>
        <w:t> </w:t>
      </w:r>
      <w:r>
        <w:rPr/>
        <w:t>mencerminkan tingkat kepercayaan pasar pada kinerja serta prospek korporat di masa depan. Salah satu rasio yang dipakai guna menilai mutu korporat ialah </w:t>
      </w:r>
      <w:r>
        <w:rPr>
          <w:b/>
          <w:i/>
        </w:rPr>
        <w:t>Price to Book Value </w:t>
      </w:r>
      <w:r>
        <w:rPr>
          <w:b/>
        </w:rPr>
        <w:t>(PBV), dengan rumus sebagai berikut:</w:t>
      </w:r>
    </w:p>
    <w:p>
      <w:pPr>
        <w:pStyle w:val="BodyText"/>
        <w:spacing w:before="1"/>
        <w:rPr>
          <w:b/>
          <w:sz w:val="4"/>
        </w:rPr>
      </w:pPr>
      <w:r>
        <w:rPr>
          <w:b/>
          <w:sz w:val="4"/>
        </w:rPr>
        <w:drawing>
          <wp:anchor distT="0" distB="0" distL="0" distR="0" allowOverlap="1" layoutInCell="1" locked="0" behindDoc="1" simplePos="0" relativeHeight="487588352">
            <wp:simplePos x="0" y="0"/>
            <wp:positionH relativeFrom="page">
              <wp:posOffset>3116579</wp:posOffset>
            </wp:positionH>
            <wp:positionV relativeFrom="paragraph">
              <wp:posOffset>45667</wp:posOffset>
            </wp:positionV>
            <wp:extent cx="2039112" cy="371856"/>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2039112" cy="371856"/>
                    </a:xfrm>
                    <a:prstGeom prst="rect">
                      <a:avLst/>
                    </a:prstGeom>
                  </pic:spPr>
                </pic:pic>
              </a:graphicData>
            </a:graphic>
          </wp:anchor>
        </w:drawing>
      </w:r>
    </w:p>
    <w:p>
      <w:pPr>
        <w:pStyle w:val="BodyText"/>
        <w:spacing w:before="31"/>
        <w:ind w:left="568" w:right="141" w:firstLine="566"/>
        <w:jc w:val="both"/>
      </w:pPr>
      <w:r>
        <w:rPr/>
        <w:t>Semakin tinggi nilai PBV, semakin tinggi pula penilaian pasar terhadap prospek pertumbuhan, efisiensi manajemen, serta kemampuan perusahaan dalam menciptakan nilai bagi pemegang saham (Brigham &amp; Houston, 2019).</w:t>
      </w:r>
    </w:p>
    <w:p>
      <w:pPr>
        <w:pStyle w:val="BodyText"/>
        <w:spacing w:after="0"/>
        <w:jc w:val="both"/>
        <w:sectPr>
          <w:type w:val="continuous"/>
          <w:pgSz w:w="11910" w:h="16840"/>
          <w:pgMar w:header="795" w:footer="0" w:top="1080" w:bottom="280" w:left="1700" w:right="1559"/>
        </w:sectPr>
      </w:pPr>
    </w:p>
    <w:p>
      <w:pPr>
        <w:pStyle w:val="BodyText"/>
      </w:pPr>
    </w:p>
    <w:p>
      <w:pPr>
        <w:pStyle w:val="BodyText"/>
      </w:pPr>
    </w:p>
    <w:p>
      <w:pPr>
        <w:pStyle w:val="BodyText"/>
      </w:pPr>
    </w:p>
    <w:p>
      <w:pPr>
        <w:pStyle w:val="BodyText"/>
        <w:spacing w:before="50"/>
      </w:pPr>
    </w:p>
    <w:p>
      <w:pPr>
        <w:pStyle w:val="Heading2"/>
        <w:jc w:val="left"/>
      </w:pPr>
      <w:r>
        <w:rPr/>
        <mc:AlternateContent>
          <mc:Choice Requires="wps">
            <w:drawing>
              <wp:anchor distT="0" distB="0" distL="0" distR="0" allowOverlap="1" layoutInCell="1" locked="0" behindDoc="1" simplePos="0" relativeHeight="487589376">
                <wp:simplePos x="0" y="0"/>
                <wp:positionH relativeFrom="page">
                  <wp:posOffset>2527300</wp:posOffset>
                </wp:positionH>
                <wp:positionV relativeFrom="paragraph">
                  <wp:posOffset>180653</wp:posOffset>
                </wp:positionV>
                <wp:extent cx="2866390" cy="1734185"/>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2866390" cy="1734185"/>
                          <a:chExt cx="2866390" cy="1734185"/>
                        </a:xfrm>
                      </wpg:grpSpPr>
                      <pic:pic>
                        <pic:nvPicPr>
                          <pic:cNvPr id="12" name="Image 12"/>
                          <pic:cNvPicPr/>
                        </pic:nvPicPr>
                        <pic:blipFill>
                          <a:blip r:embed="rId12" cstate="print"/>
                          <a:stretch>
                            <a:fillRect/>
                          </a:stretch>
                        </pic:blipFill>
                        <pic:spPr>
                          <a:xfrm>
                            <a:off x="13207" y="45084"/>
                            <a:ext cx="2840736" cy="1616963"/>
                          </a:xfrm>
                          <a:prstGeom prst="rect">
                            <a:avLst/>
                          </a:prstGeom>
                        </pic:spPr>
                      </pic:pic>
                      <wps:wsp>
                        <wps:cNvPr id="13" name="Graphic 13"/>
                        <wps:cNvSpPr/>
                        <wps:spPr>
                          <a:xfrm>
                            <a:off x="0" y="0"/>
                            <a:ext cx="2866390" cy="1734185"/>
                          </a:xfrm>
                          <a:custGeom>
                            <a:avLst/>
                            <a:gdLst/>
                            <a:ahLst/>
                            <a:cxnLst/>
                            <a:rect l="l" t="t" r="r" b="b"/>
                            <a:pathLst>
                              <a:path w="2866390" h="1734185">
                                <a:moveTo>
                                  <a:pt x="2866136" y="6350"/>
                                </a:moveTo>
                                <a:lnTo>
                                  <a:pt x="2859786" y="0"/>
                                </a:lnTo>
                                <a:lnTo>
                                  <a:pt x="2853436" y="0"/>
                                </a:lnTo>
                                <a:lnTo>
                                  <a:pt x="2853436" y="12700"/>
                                </a:lnTo>
                                <a:lnTo>
                                  <a:pt x="2853436" y="1721104"/>
                                </a:lnTo>
                                <a:lnTo>
                                  <a:pt x="12700" y="1721104"/>
                                </a:lnTo>
                                <a:lnTo>
                                  <a:pt x="12700" y="12700"/>
                                </a:lnTo>
                                <a:lnTo>
                                  <a:pt x="2853436" y="12700"/>
                                </a:lnTo>
                                <a:lnTo>
                                  <a:pt x="2853436" y="0"/>
                                </a:lnTo>
                                <a:lnTo>
                                  <a:pt x="6350" y="0"/>
                                </a:lnTo>
                                <a:lnTo>
                                  <a:pt x="0" y="6350"/>
                                </a:lnTo>
                                <a:lnTo>
                                  <a:pt x="0" y="1727454"/>
                                </a:lnTo>
                                <a:lnTo>
                                  <a:pt x="304" y="1729422"/>
                                </a:lnTo>
                                <a:lnTo>
                                  <a:pt x="1206" y="1731187"/>
                                </a:lnTo>
                                <a:lnTo>
                                  <a:pt x="2616" y="1732597"/>
                                </a:lnTo>
                                <a:lnTo>
                                  <a:pt x="4381" y="1733499"/>
                                </a:lnTo>
                                <a:lnTo>
                                  <a:pt x="6350" y="1733804"/>
                                </a:lnTo>
                                <a:lnTo>
                                  <a:pt x="2859786" y="1733804"/>
                                </a:lnTo>
                                <a:lnTo>
                                  <a:pt x="2866136" y="1727454"/>
                                </a:lnTo>
                                <a:lnTo>
                                  <a:pt x="2866136" y="1721104"/>
                                </a:lnTo>
                                <a:lnTo>
                                  <a:pt x="2866136" y="12700"/>
                                </a:lnTo>
                                <a:lnTo>
                                  <a:pt x="2866136" y="635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99pt;margin-top:14.224688pt;width:225.7pt;height:136.550pt;mso-position-horizontal-relative:page;mso-position-vertical-relative:paragraph;z-index:-15727104;mso-wrap-distance-left:0;mso-wrap-distance-right:0" id="docshapegroup8" coordorigin="3980,284" coordsize="4514,2731">
                <v:shape style="position:absolute;left:4000;top:355;width:4474;height:2547" type="#_x0000_t75" id="docshape9" stroked="false">
                  <v:imagedata r:id="rId12" o:title=""/>
                </v:shape>
                <v:shape style="position:absolute;left:3980;top:284;width:4514;height:2731" id="docshape10" coordorigin="3980,284" coordsize="4514,2731" path="m8494,294l8484,284,8474,284,8474,304,8474,2995,4000,2995,4000,304,8474,304,8474,284,3990,284,3980,294,3980,3005,3980,3008,3982,3011,3984,3013,3987,3014,3990,3015,8484,3015,8494,3005,8494,2995,8494,304,8494,294xe" filled="true" fillcolor="#000000" stroked="false">
                  <v:path arrowok="t"/>
                  <v:fill type="solid"/>
                </v:shape>
                <w10:wrap type="topAndBottom"/>
              </v:group>
            </w:pict>
          </mc:Fallback>
        </mc:AlternateContent>
      </w:r>
      <w:bookmarkStart w:name="Model Penelitian" w:id="25"/>
      <w:bookmarkEnd w:id="25"/>
      <w:r>
        <w:rPr>
          <w:b w:val="0"/>
        </w:rPr>
      </w:r>
      <w:r>
        <w:rPr/>
        <w:t>Model</w:t>
      </w:r>
      <w:r>
        <w:rPr>
          <w:spacing w:val="-4"/>
        </w:rPr>
        <w:t> </w:t>
      </w:r>
      <w:r>
        <w:rPr>
          <w:spacing w:val="-2"/>
        </w:rPr>
        <w:t>Penelitian</w:t>
      </w:r>
    </w:p>
    <w:p>
      <w:pPr>
        <w:spacing w:before="19"/>
        <w:ind w:left="427" w:right="0" w:firstLine="0"/>
        <w:jc w:val="center"/>
        <w:rPr>
          <w:b/>
          <w:sz w:val="24"/>
        </w:rPr>
      </w:pPr>
      <w:r>
        <w:rPr>
          <w:b/>
          <w:sz w:val="24"/>
        </w:rPr>
        <w:t>Gambar</w:t>
      </w:r>
      <w:r>
        <w:rPr>
          <w:b/>
          <w:spacing w:val="-9"/>
          <w:sz w:val="24"/>
        </w:rPr>
        <w:t> </w:t>
      </w:r>
      <w:r>
        <w:rPr>
          <w:b/>
          <w:sz w:val="24"/>
        </w:rPr>
        <w:t>3.</w:t>
      </w:r>
      <w:r>
        <w:rPr>
          <w:b/>
          <w:spacing w:val="-5"/>
          <w:sz w:val="24"/>
        </w:rPr>
        <w:t> </w:t>
      </w:r>
      <w:r>
        <w:rPr>
          <w:b/>
          <w:sz w:val="24"/>
        </w:rPr>
        <w:t>Model</w:t>
      </w:r>
      <w:r>
        <w:rPr>
          <w:b/>
          <w:spacing w:val="-4"/>
          <w:sz w:val="24"/>
        </w:rPr>
        <w:t> </w:t>
      </w:r>
      <w:r>
        <w:rPr>
          <w:b/>
          <w:sz w:val="24"/>
        </w:rPr>
        <w:t>Penelitian</w:t>
      </w:r>
      <w:r>
        <w:rPr>
          <w:b/>
          <w:spacing w:val="-1"/>
          <w:sz w:val="24"/>
        </w:rPr>
        <w:t> </w:t>
      </w:r>
      <w:r>
        <w:rPr>
          <w:b/>
          <w:sz w:val="24"/>
        </w:rPr>
        <w:t>(Uji</w:t>
      </w:r>
      <w:r>
        <w:rPr>
          <w:b/>
          <w:spacing w:val="-4"/>
          <w:sz w:val="24"/>
        </w:rPr>
        <w:t> </w:t>
      </w:r>
      <w:r>
        <w:rPr>
          <w:b/>
          <w:sz w:val="24"/>
        </w:rPr>
        <w:t>Regresi</w:t>
      </w:r>
      <w:r>
        <w:rPr>
          <w:b/>
          <w:spacing w:val="-5"/>
          <w:sz w:val="24"/>
        </w:rPr>
        <w:t> </w:t>
      </w:r>
      <w:r>
        <w:rPr>
          <w:b/>
          <w:sz w:val="24"/>
        </w:rPr>
        <w:t>Linear</w:t>
      </w:r>
      <w:r>
        <w:rPr>
          <w:b/>
          <w:spacing w:val="-10"/>
          <w:sz w:val="24"/>
        </w:rPr>
        <w:t> </w:t>
      </w:r>
      <w:r>
        <w:rPr>
          <w:b/>
          <w:spacing w:val="-2"/>
          <w:sz w:val="24"/>
        </w:rPr>
        <w:t>Berganda)</w:t>
      </w:r>
    </w:p>
    <w:p>
      <w:pPr>
        <w:pStyle w:val="BodyText"/>
        <w:spacing w:before="240"/>
        <w:ind w:left="568" w:right="137" w:firstLine="720"/>
        <w:jc w:val="both"/>
      </w:pPr>
      <w:r>
        <w:rPr/>
        <w:t>Statistik deskriptif ialah aktivitas peringkasan, penyajian data, penataan, dan penghimpunan supaya data memiliki makna, dan mudah untuk dimengerti. Kriteria</w:t>
      </w:r>
      <w:r>
        <w:rPr>
          <w:spacing w:val="-2"/>
        </w:rPr>
        <w:t> </w:t>
      </w:r>
      <w:r>
        <w:rPr/>
        <w:t>pengambilan</w:t>
      </w:r>
      <w:r>
        <w:rPr>
          <w:spacing w:val="-1"/>
        </w:rPr>
        <w:t> </w:t>
      </w:r>
      <w:r>
        <w:rPr/>
        <w:t>keputusan uji</w:t>
      </w:r>
      <w:r>
        <w:rPr>
          <w:spacing w:val="-3"/>
        </w:rPr>
        <w:t> </w:t>
      </w:r>
      <w:r>
        <w:rPr>
          <w:i/>
        </w:rPr>
        <w:t>Kolmogorov–</w:t>
      </w:r>
      <w:r>
        <w:rPr/>
        <w:t>Smirnov,</w:t>
      </w:r>
      <w:r>
        <w:rPr>
          <w:spacing w:val="-5"/>
        </w:rPr>
        <w:t> </w:t>
      </w:r>
      <w:r>
        <w:rPr/>
        <w:t>antara lain:</w:t>
      </w:r>
      <w:r>
        <w:rPr>
          <w:spacing w:val="-3"/>
        </w:rPr>
        <w:t> </w:t>
      </w:r>
      <w:r>
        <w:rPr/>
        <w:t>Kalau nilai signifikansi </w:t>
      </w:r>
      <w:r>
        <w:rPr>
          <w:rFonts w:ascii="Cambria Math" w:hAnsi="Cambria Math"/>
        </w:rPr>
        <w:t>≤</w:t>
      </w:r>
      <w:r>
        <w:rPr>
          <w:rFonts w:ascii="Cambria Math" w:hAnsi="Cambria Math"/>
          <w:spacing w:val="40"/>
        </w:rPr>
        <w:t> </w:t>
      </w:r>
      <w:r>
        <w:rPr/>
        <w:t>0,05 maksudnya data tak termasuk distribusi normal; Kalau nilai signifikansi </w:t>
      </w:r>
      <w:r>
        <w:rPr>
          <w:rFonts w:ascii="Cambria Math" w:hAnsi="Cambria Math"/>
        </w:rPr>
        <w:t>≥ </w:t>
      </w:r>
      <w:r>
        <w:rPr/>
        <w:t>0,05 maksudnya data termasuk distribusi normal. Dasar pengambilan Uji Multikolinearitas: Nilai </w:t>
      </w:r>
      <w:r>
        <w:rPr>
          <w:i/>
        </w:rPr>
        <w:t>Tolerance </w:t>
      </w:r>
      <w:r>
        <w:rPr>
          <w:rFonts w:ascii="Cambria Math" w:hAnsi="Cambria Math"/>
        </w:rPr>
        <w:t>≥</w:t>
      </w:r>
      <w:r>
        <w:rPr>
          <w:rFonts w:ascii="Cambria Math" w:hAnsi="Cambria Math"/>
          <w:spacing w:val="40"/>
        </w:rPr>
        <w:t> </w:t>
      </w:r>
      <w:r>
        <w:rPr/>
        <w:t>0,10 maksudnya tak ada multikolinearitas. Sedangkan, nilai </w:t>
      </w:r>
      <w:r>
        <w:rPr>
          <w:i/>
        </w:rPr>
        <w:t>Tolerance </w:t>
      </w:r>
      <w:r>
        <w:rPr>
          <w:rFonts w:ascii="Cambria Math" w:hAnsi="Cambria Math"/>
        </w:rPr>
        <w:t>≤ </w:t>
      </w:r>
      <w:r>
        <w:rPr/>
        <w:t>0,10 maksudnya ada multikolinearitas. Kemudian, nilai VIF ≤ 10,00 maksudnya tak ada multikolinearitas.</w:t>
      </w:r>
      <w:r>
        <w:rPr>
          <w:spacing w:val="-2"/>
        </w:rPr>
        <w:t> </w:t>
      </w:r>
      <w:r>
        <w:rPr/>
        <w:t>Sedangkan,</w:t>
      </w:r>
      <w:r>
        <w:rPr>
          <w:spacing w:val="-2"/>
        </w:rPr>
        <w:t> </w:t>
      </w:r>
      <w:r>
        <w:rPr/>
        <w:t>nilai</w:t>
      </w:r>
      <w:r>
        <w:rPr>
          <w:spacing w:val="-7"/>
        </w:rPr>
        <w:t> </w:t>
      </w:r>
      <w:r>
        <w:rPr/>
        <w:t>VIF </w:t>
      </w:r>
      <w:r>
        <w:rPr>
          <w:rFonts w:ascii="Cambria Math" w:hAnsi="Cambria Math"/>
        </w:rPr>
        <w:t>≥</w:t>
      </w:r>
      <w:r>
        <w:rPr>
          <w:rFonts w:ascii="Cambria Math" w:hAnsi="Cambria Math"/>
          <w:spacing w:val="-1"/>
        </w:rPr>
        <w:t> </w:t>
      </w:r>
      <w:r>
        <w:rPr/>
        <w:t>10,00</w:t>
      </w:r>
      <w:r>
        <w:rPr>
          <w:spacing w:val="-4"/>
        </w:rPr>
        <w:t> </w:t>
      </w:r>
      <w:r>
        <w:rPr/>
        <w:t>maksudnya ada</w:t>
      </w:r>
      <w:r>
        <w:rPr>
          <w:spacing w:val="-3"/>
        </w:rPr>
        <w:t> </w:t>
      </w:r>
      <w:r>
        <w:rPr/>
        <w:t>multikolinearitas. Digunakan agar bisa menguji apakah di model regresi ada ketidaksamaan varians dari residual satu pengamatan ke pengamatan lain ( Ghozali, 2021) . Kriterianya, antara lain kalau d terletak antara dU dan (4-dU), maka hipotesis nol (H0) diterima, maksudnya tak ada autokorelasi. Berikut persamaan regresi linear berganda yang digunakan dalam penelitian ini:</w:t>
      </w:r>
    </w:p>
    <w:p>
      <w:pPr>
        <w:pStyle w:val="BodyText"/>
        <w:spacing w:line="281" w:lineRule="exact"/>
        <w:ind w:left="480"/>
        <w:jc w:val="center"/>
        <w:rPr>
          <w:rFonts w:ascii="Cambria Math" w:eastAsia="Cambria Math"/>
          <w:position w:val="2"/>
        </w:rPr>
      </w:pPr>
      <w:r>
        <w:rPr>
          <w:rFonts w:ascii="Cambria Math" w:eastAsia="Cambria Math"/>
          <w:w w:val="60"/>
          <w:position w:val="2"/>
        </w:rPr>
        <w:t>=</w:t>
      </w:r>
      <w:r>
        <w:rPr>
          <w:rFonts w:ascii="Cambria Math" w:eastAsia="Cambria Math"/>
          <w:spacing w:val="40"/>
          <w:position w:val="2"/>
        </w:rPr>
        <w:t> </w:t>
      </w:r>
      <w:r>
        <w:rPr>
          <w:rFonts w:ascii="Cambria Math" w:eastAsia="Cambria Math"/>
          <w:w w:val="60"/>
          <w:position w:val="2"/>
        </w:rPr>
        <w:t>+</w:t>
      </w:r>
      <w:r>
        <w:rPr>
          <w:rFonts w:ascii="Cambria Math" w:eastAsia="Cambria Math"/>
          <w:spacing w:val="-11"/>
          <w:position w:val="2"/>
        </w:rPr>
        <w:t> </w:t>
      </w:r>
      <w:r>
        <w:rPr>
          <w:rFonts w:ascii="Cambria Math" w:eastAsia="Cambria Math"/>
          <w:w w:val="60"/>
          <w:sz w:val="15"/>
        </w:rPr>
        <w:t>1</w:t>
      </w:r>
      <w:r>
        <w:rPr>
          <w:rFonts w:ascii="Cambria Math" w:eastAsia="Cambria Math"/>
          <w:w w:val="60"/>
          <w:position w:val="2"/>
        </w:rPr>
        <w:t/>
      </w:r>
      <w:r>
        <w:rPr>
          <w:rFonts w:ascii="Cambria Math" w:eastAsia="Cambria Math"/>
          <w:spacing w:val="-12"/>
          <w:position w:val="2"/>
        </w:rPr>
        <w:t> </w:t>
      </w:r>
      <w:r>
        <w:rPr>
          <w:rFonts w:ascii="Cambria Math" w:eastAsia="Cambria Math"/>
          <w:w w:val="60"/>
          <w:position w:val="2"/>
        </w:rPr>
        <w:t>+</w:t>
      </w:r>
      <w:r>
        <w:rPr>
          <w:rFonts w:ascii="Cambria Math" w:eastAsia="Cambria Math"/>
          <w:spacing w:val="27"/>
          <w:position w:val="2"/>
        </w:rPr>
        <w:t> </w:t>
      </w:r>
      <w:r>
        <w:rPr>
          <w:rFonts w:ascii="Cambria Math" w:eastAsia="Cambria Math"/>
          <w:w w:val="60"/>
          <w:position w:val="2"/>
        </w:rPr>
        <w:t>+</w:t>
      </w:r>
      <w:r>
        <w:rPr>
          <w:rFonts w:ascii="Cambria Math" w:eastAsia="Cambria Math"/>
          <w:spacing w:val="-9"/>
          <w:position w:val="2"/>
        </w:rPr>
        <w:t> </w:t>
      </w:r>
      <w:r>
        <w:rPr>
          <w:rFonts w:ascii="Cambria Math" w:eastAsia="Cambria Math"/>
          <w:w w:val="60"/>
          <w:position w:val="2"/>
        </w:rPr>
        <w:t/>
      </w:r>
      <w:r>
        <w:rPr>
          <w:rFonts w:ascii="Cambria Math" w:eastAsia="Cambria Math"/>
          <w:spacing w:val="-8"/>
          <w:position w:val="2"/>
        </w:rPr>
        <w:t> </w:t>
      </w:r>
      <w:r>
        <w:rPr>
          <w:rFonts w:ascii="Cambria Math" w:eastAsia="Cambria Math"/>
          <w:w w:val="60"/>
          <w:position w:val="2"/>
        </w:rPr>
        <w:t>+</w:t>
      </w:r>
      <w:r>
        <w:rPr>
          <w:rFonts w:ascii="Cambria Math" w:eastAsia="Cambria Math"/>
          <w:spacing w:val="-12"/>
          <w:position w:val="2"/>
        </w:rPr>
        <w:t> </w:t>
      </w:r>
      <w:r>
        <w:rPr>
          <w:rFonts w:ascii="Cambria Math" w:eastAsia="Cambria Math"/>
          <w:w w:val="60"/>
          <w:position w:val="2"/>
        </w:rPr>
        <w:t>𝐆</w:t>
      </w:r>
      <w:r>
        <w:rPr>
          <w:rFonts w:ascii="Cambria Math" w:eastAsia="Cambria Math"/>
          <w:spacing w:val="-11"/>
          <w:position w:val="2"/>
        </w:rPr>
        <w:t> </w:t>
      </w:r>
      <w:r>
        <w:rPr>
          <w:rFonts w:ascii="Cambria Math" w:eastAsia="Cambria Math"/>
          <w:spacing w:val="-10"/>
          <w:w w:val="60"/>
          <w:position w:val="2"/>
        </w:rPr>
        <w:t>+</w:t>
      </w:r>
    </w:p>
    <w:p>
      <w:pPr>
        <w:pStyle w:val="BodyText"/>
        <w:spacing w:after="0" w:line="281" w:lineRule="exact"/>
        <w:jc w:val="center"/>
        <w:rPr>
          <w:rFonts w:ascii="Cambria Math" w:eastAsia="Cambria Math"/>
          <w:position w:val="2"/>
        </w:rPr>
        <w:sectPr>
          <w:pgSz w:w="11910" w:h="16840"/>
          <w:pgMar w:header="795" w:footer="0" w:top="1080" w:bottom="280" w:left="1700" w:right="1559"/>
        </w:sectPr>
      </w:pPr>
    </w:p>
    <w:p>
      <w:pPr>
        <w:pStyle w:val="BodyText"/>
        <w:spacing w:line="274" w:lineRule="exact" w:before="2"/>
        <w:ind w:left="568"/>
      </w:pPr>
      <w:r>
        <w:rPr>
          <w:spacing w:val="-2"/>
        </w:rPr>
        <w:t>Keterangan:</w:t>
      </w:r>
    </w:p>
    <w:p>
      <w:pPr>
        <w:pStyle w:val="BodyText"/>
        <w:spacing w:line="274" w:lineRule="exact"/>
        <w:ind w:left="568"/>
      </w:pPr>
      <w:r>
        <w:rPr/>
        <w:t>Y</w:t>
      </w:r>
      <w:r>
        <w:rPr>
          <w:spacing w:val="-4"/>
        </w:rPr>
        <w:t> </w:t>
      </w:r>
      <w:r>
        <w:rPr/>
        <w:t>=</w:t>
      </w:r>
      <w:r>
        <w:rPr>
          <w:spacing w:val="-2"/>
        </w:rPr>
        <w:t> </w:t>
      </w:r>
      <w:r>
        <w:rPr/>
        <w:t>Nilai </w:t>
      </w:r>
      <w:r>
        <w:rPr>
          <w:spacing w:val="-2"/>
        </w:rPr>
        <w:t>Perusahaan</w:t>
      </w:r>
    </w:p>
    <w:p>
      <w:pPr>
        <w:pStyle w:val="BodyText"/>
        <w:spacing w:before="2"/>
        <w:ind w:left="623"/>
      </w:pPr>
      <w:r>
        <w:rPr>
          <w:i/>
          <w:w w:val="85"/>
        </w:rPr>
        <w:t>=</w:t>
      </w:r>
      <w:r>
        <w:rPr>
          <w:i/>
          <w:spacing w:val="-5"/>
          <w:w w:val="85"/>
        </w:rPr>
        <w:t> </w:t>
      </w:r>
      <w:r>
        <w:rPr>
          <w:spacing w:val="-2"/>
          <w:w w:val="90"/>
        </w:rPr>
        <w:t>Konstanta</w:t>
      </w:r>
    </w:p>
    <w:p>
      <w:pPr>
        <w:pStyle w:val="BodyText"/>
        <w:spacing w:before="7"/>
        <w:ind w:left="568" w:right="839" w:firstLine="40"/>
      </w:pPr>
      <w:r>
        <w:rPr/>
        <w:t>= Koefisien regresi ROA=</w:t>
      </w:r>
      <w:r>
        <w:rPr>
          <w:spacing w:val="-15"/>
        </w:rPr>
        <w:t> </w:t>
      </w:r>
      <w:r>
        <w:rPr/>
        <w:t>Profitabilitas</w:t>
      </w:r>
    </w:p>
    <w:p>
      <w:pPr>
        <w:pStyle w:val="BodyText"/>
        <w:spacing w:before="94"/>
      </w:pPr>
    </w:p>
    <w:p>
      <w:pPr>
        <w:pStyle w:val="Heading2"/>
        <w:spacing w:line="275" w:lineRule="exact"/>
        <w:jc w:val="left"/>
      </w:pPr>
      <w:bookmarkStart w:name="Uji Asumsi Klasik" w:id="26"/>
      <w:bookmarkEnd w:id="26"/>
      <w:r>
        <w:rPr>
          <w:b w:val="0"/>
        </w:rPr>
      </w:r>
      <w:r>
        <w:rPr/>
        <w:t>Uji</w:t>
      </w:r>
      <w:r>
        <w:rPr>
          <w:spacing w:val="-15"/>
        </w:rPr>
        <w:t> </w:t>
      </w:r>
      <w:r>
        <w:rPr/>
        <w:t>Asumsi</w:t>
      </w:r>
      <w:r>
        <w:rPr>
          <w:spacing w:val="-8"/>
        </w:rPr>
        <w:t> </w:t>
      </w:r>
      <w:r>
        <w:rPr>
          <w:spacing w:val="-2"/>
        </w:rPr>
        <w:t>Klasik</w:t>
      </w:r>
    </w:p>
    <w:p>
      <w:pPr>
        <w:pStyle w:val="ListParagraph"/>
        <w:numPr>
          <w:ilvl w:val="0"/>
          <w:numId w:val="1"/>
        </w:numPr>
        <w:tabs>
          <w:tab w:pos="851" w:val="left" w:leader="none"/>
        </w:tabs>
        <w:spacing w:line="275" w:lineRule="exact" w:before="0" w:after="0"/>
        <w:ind w:left="851" w:right="0" w:hanging="283"/>
        <w:jc w:val="left"/>
        <w:rPr>
          <w:b/>
          <w:sz w:val="24"/>
        </w:rPr>
      </w:pPr>
      <w:r>
        <w:rPr>
          <w:b/>
          <w:sz w:val="24"/>
        </w:rPr>
        <w:t>Uji</w:t>
      </w:r>
      <w:r>
        <w:rPr>
          <w:b/>
          <w:spacing w:val="-8"/>
          <w:sz w:val="24"/>
        </w:rPr>
        <w:t> </w:t>
      </w:r>
      <w:r>
        <w:rPr>
          <w:b/>
          <w:sz w:val="24"/>
        </w:rPr>
        <w:t>Normalitas</w:t>
      </w:r>
      <w:r>
        <w:rPr>
          <w:b/>
          <w:spacing w:val="-3"/>
          <w:sz w:val="24"/>
        </w:rPr>
        <w:t> </w:t>
      </w:r>
      <w:r>
        <w:rPr>
          <w:b/>
          <w:spacing w:val="-2"/>
          <w:sz w:val="24"/>
        </w:rPr>
        <w:t>Residual</w:t>
      </w:r>
    </w:p>
    <w:p>
      <w:pPr>
        <w:pStyle w:val="BodyText"/>
        <w:spacing w:before="1"/>
        <w:rPr>
          <w:b/>
        </w:rPr>
      </w:pPr>
      <w:r>
        <w:rPr/>
        <w:br w:type="column"/>
      </w:r>
      <w:r>
        <w:rPr>
          <w:b/>
        </w:rPr>
      </w:r>
    </w:p>
    <w:p>
      <w:pPr>
        <w:pStyle w:val="BodyText"/>
        <w:spacing w:before="1"/>
        <w:ind w:left="567" w:right="1758"/>
      </w:pPr>
      <w:r>
        <w:rPr/>
        <w:t>CR = Likuiditas </w:t>
      </w:r>
      <w:r>
        <w:rPr>
          <w:spacing w:val="-2"/>
        </w:rPr>
        <w:t>DER</w:t>
      </w:r>
      <w:r>
        <w:rPr>
          <w:spacing w:val="-14"/>
        </w:rPr>
        <w:t> </w:t>
      </w:r>
      <w:r>
        <w:rPr>
          <w:spacing w:val="-2"/>
        </w:rPr>
        <w:t>=</w:t>
      </w:r>
      <w:r>
        <w:rPr>
          <w:spacing w:val="-16"/>
        </w:rPr>
        <w:t> </w:t>
      </w:r>
      <w:r>
        <w:rPr>
          <w:spacing w:val="-2"/>
        </w:rPr>
        <w:t>Solvabilitas</w:t>
      </w:r>
    </w:p>
    <w:p>
      <w:pPr>
        <w:spacing w:line="266" w:lineRule="exact" w:before="0"/>
        <w:ind w:left="567" w:right="0" w:firstLine="0"/>
        <w:jc w:val="left"/>
        <w:rPr>
          <w:sz w:val="24"/>
        </w:rPr>
      </w:pPr>
      <w:r>
        <w:rPr>
          <w:i/>
          <w:sz w:val="24"/>
        </w:rPr>
        <w:t>Growth</w:t>
      </w:r>
      <w:r>
        <w:rPr>
          <w:i/>
          <w:spacing w:val="-10"/>
          <w:sz w:val="24"/>
        </w:rPr>
        <w:t> </w:t>
      </w:r>
      <w:r>
        <w:rPr>
          <w:sz w:val="24"/>
        </w:rPr>
        <w:t>=</w:t>
      </w:r>
      <w:r>
        <w:rPr>
          <w:spacing w:val="-2"/>
          <w:sz w:val="24"/>
        </w:rPr>
        <w:t> </w:t>
      </w:r>
      <w:r>
        <w:rPr>
          <w:sz w:val="24"/>
        </w:rPr>
        <w:t>Pertumbuhan</w:t>
      </w:r>
      <w:r>
        <w:rPr>
          <w:spacing w:val="-1"/>
          <w:sz w:val="24"/>
        </w:rPr>
        <w:t> </w:t>
      </w:r>
      <w:r>
        <w:rPr>
          <w:spacing w:val="-4"/>
          <w:sz w:val="24"/>
        </w:rPr>
        <w:t>Aset</w:t>
      </w:r>
    </w:p>
    <w:p>
      <w:pPr>
        <w:pStyle w:val="BodyText"/>
        <w:spacing w:before="32"/>
        <w:ind w:left="623"/>
        <w:rPr>
          <w:rFonts w:ascii="Microsoft YaHei"/>
        </w:rPr>
      </w:pPr>
      <w:r>
        <w:rPr>
          <w:rFonts w:ascii="Microsoft YaHei"/>
          <w:w w:val="75"/>
        </w:rPr>
        <w:t>=</w:t>
      </w:r>
      <w:r>
        <w:rPr>
          <w:rFonts w:ascii="Microsoft YaHei"/>
          <w:spacing w:val="-2"/>
          <w:w w:val="80"/>
        </w:rPr>
        <w:t> </w:t>
      </w:r>
      <w:r>
        <w:rPr>
          <w:rFonts w:ascii="Microsoft YaHei"/>
          <w:spacing w:val="-4"/>
          <w:w w:val="80"/>
        </w:rPr>
        <w:t>Error</w:t>
      </w:r>
    </w:p>
    <w:p>
      <w:pPr>
        <w:pStyle w:val="BodyText"/>
        <w:spacing w:after="0"/>
        <w:rPr>
          <w:rFonts w:ascii="Microsoft YaHei"/>
        </w:rPr>
        <w:sectPr>
          <w:type w:val="continuous"/>
          <w:pgSz w:w="11910" w:h="16840"/>
          <w:pgMar w:header="795" w:footer="0" w:top="1080" w:bottom="280" w:left="1700" w:right="1559"/>
          <w:cols w:num="2" w:equalWidth="0">
            <w:col w:w="3354" w:space="969"/>
            <w:col w:w="4328"/>
          </w:cols>
        </w:sectPr>
      </w:pPr>
    </w:p>
    <w:p>
      <w:pPr>
        <w:pStyle w:val="BodyText"/>
        <w:ind w:left="851" w:right="139"/>
        <w:jc w:val="both"/>
      </w:pPr>
      <w:r>
        <w:rPr/>
        <w:t>Uji normalitas menggunakan </w:t>
      </w:r>
      <w:r>
        <w:rPr>
          <w:i/>
        </w:rPr>
        <w:t>One-Sample Kolmogorov-Smirnov Test </w:t>
      </w:r>
      <w:r>
        <w:rPr/>
        <w:t>dengan kriteria, jika nilai signifikansi </w:t>
      </w:r>
      <w:r>
        <w:rPr>
          <w:rFonts w:ascii="Cambria Math" w:hAnsi="Cambria Math"/>
        </w:rPr>
        <w:t>≤</w:t>
      </w:r>
      <w:r>
        <w:rPr>
          <w:rFonts w:ascii="Cambria Math" w:hAnsi="Cambria Math"/>
          <w:spacing w:val="40"/>
        </w:rPr>
        <w:t> </w:t>
      </w:r>
      <w:r>
        <w:rPr/>
        <w:t>0,05 maka data tidak terdistribusi normal namun jika nilai signifikansi </w:t>
      </w:r>
      <w:r>
        <w:rPr>
          <w:rFonts w:ascii="Cambria Math" w:hAnsi="Cambria Math"/>
        </w:rPr>
        <w:t>≥ </w:t>
      </w:r>
      <w:r>
        <w:rPr/>
        <w:t>0,05 maka data terdistribusi normal.</w:t>
      </w:r>
    </w:p>
    <w:p>
      <w:pPr>
        <w:pStyle w:val="Heading2"/>
        <w:numPr>
          <w:ilvl w:val="0"/>
          <w:numId w:val="1"/>
        </w:numPr>
        <w:tabs>
          <w:tab w:pos="847" w:val="left" w:leader="none"/>
        </w:tabs>
        <w:spacing w:line="240" w:lineRule="auto" w:before="1" w:after="0"/>
        <w:ind w:left="847" w:right="0" w:hanging="279"/>
        <w:jc w:val="both"/>
      </w:pPr>
      <w:bookmarkStart w:name="b.Uji Multikolinearitas" w:id="27"/>
      <w:bookmarkEnd w:id="27"/>
      <w:r>
        <w:rPr/>
        <w:t>U</w:t>
      </w:r>
      <w:r>
        <w:rPr/>
        <w:t>ji</w:t>
      </w:r>
      <w:r>
        <w:rPr>
          <w:spacing w:val="-4"/>
        </w:rPr>
        <w:t> </w:t>
      </w:r>
      <w:r>
        <w:rPr>
          <w:spacing w:val="-2"/>
        </w:rPr>
        <w:t>Multikolinearitas</w:t>
      </w:r>
    </w:p>
    <w:p>
      <w:pPr>
        <w:pStyle w:val="BodyText"/>
        <w:ind w:left="851" w:right="138"/>
        <w:jc w:val="both"/>
      </w:pPr>
      <w:r>
        <w:rPr/>
        <w:t>Pengukuran dilakukan dengan </w:t>
      </w:r>
      <w:r>
        <w:rPr>
          <w:i/>
        </w:rPr>
        <w:t>Variance Inflation Factor </w:t>
      </w:r>
      <w:r>
        <w:rPr/>
        <w:t>(VIF) dengan ketentuannya,</w:t>
      </w:r>
      <w:r>
        <w:rPr>
          <w:spacing w:val="-1"/>
        </w:rPr>
        <w:t> </w:t>
      </w:r>
      <w:r>
        <w:rPr/>
        <w:t>jika</w:t>
      </w:r>
      <w:r>
        <w:rPr>
          <w:spacing w:val="-10"/>
        </w:rPr>
        <w:t> </w:t>
      </w:r>
      <w:r>
        <w:rPr/>
        <w:t>VIF </w:t>
      </w:r>
      <w:r>
        <w:rPr>
          <w:rFonts w:ascii="Cambria Math" w:hAnsi="Cambria Math"/>
        </w:rPr>
        <w:t>≥ </w:t>
      </w:r>
      <w:r>
        <w:rPr/>
        <w:t>10</w:t>
      </w:r>
      <w:r>
        <w:rPr>
          <w:spacing w:val="-4"/>
        </w:rPr>
        <w:t> </w:t>
      </w:r>
      <w:r>
        <w:rPr/>
        <w:t>maka</w:t>
      </w:r>
      <w:r>
        <w:rPr>
          <w:spacing w:val="-3"/>
        </w:rPr>
        <w:t> </w:t>
      </w:r>
      <w:r>
        <w:rPr/>
        <w:t>terdapat</w:t>
      </w:r>
      <w:r>
        <w:rPr>
          <w:spacing w:val="-4"/>
        </w:rPr>
        <w:t> </w:t>
      </w:r>
      <w:r>
        <w:rPr/>
        <w:t>multikolinearitas dan</w:t>
      </w:r>
      <w:r>
        <w:rPr>
          <w:spacing w:val="-2"/>
        </w:rPr>
        <w:t> </w:t>
      </w:r>
      <w:r>
        <w:rPr/>
        <w:t>jika</w:t>
      </w:r>
      <w:r>
        <w:rPr>
          <w:spacing w:val="-10"/>
        </w:rPr>
        <w:t> </w:t>
      </w:r>
      <w:r>
        <w:rPr/>
        <w:t>VIF </w:t>
      </w:r>
      <w:r>
        <w:rPr>
          <w:rFonts w:ascii="Cambria Math" w:hAnsi="Cambria Math"/>
        </w:rPr>
        <w:t>≤ </w:t>
      </w:r>
      <w:r>
        <w:rPr/>
        <w:t>10 maka tidak terdapat multikolinearitas.</w:t>
      </w:r>
    </w:p>
    <w:p>
      <w:pPr>
        <w:pStyle w:val="Heading2"/>
        <w:numPr>
          <w:ilvl w:val="0"/>
          <w:numId w:val="1"/>
        </w:numPr>
        <w:tabs>
          <w:tab w:pos="848" w:val="left" w:leader="none"/>
        </w:tabs>
        <w:spacing w:line="273" w:lineRule="exact" w:before="0" w:after="0"/>
        <w:ind w:left="848" w:right="0" w:hanging="280"/>
        <w:jc w:val="both"/>
      </w:pPr>
      <w:bookmarkStart w:name="c.Uji Heteroskedastisitas" w:id="28"/>
      <w:bookmarkEnd w:id="28"/>
      <w:r>
        <w:rPr/>
        <w:t>U</w:t>
      </w:r>
      <w:r>
        <w:rPr/>
        <w:t>ji</w:t>
      </w:r>
      <w:r>
        <w:rPr>
          <w:spacing w:val="-2"/>
        </w:rPr>
        <w:t> Heteroskedastisitas</w:t>
      </w:r>
    </w:p>
    <w:p>
      <w:pPr>
        <w:pStyle w:val="BodyText"/>
        <w:spacing w:before="3"/>
        <w:ind w:left="851" w:right="137"/>
        <w:jc w:val="both"/>
        <w:rPr>
          <w:i/>
        </w:rPr>
      </w:pPr>
      <w:r>
        <w:rPr/>
        <w:t>Uji autokorelasi berguna untuk data deret waktu guna mengetahui apakah residual</w:t>
      </w:r>
      <w:r>
        <w:rPr>
          <w:spacing w:val="23"/>
        </w:rPr>
        <w:t>  </w:t>
      </w:r>
      <w:r>
        <w:rPr/>
        <w:t>berkorelasi</w:t>
      </w:r>
      <w:r>
        <w:rPr>
          <w:spacing w:val="27"/>
        </w:rPr>
        <w:t>  </w:t>
      </w:r>
      <w:r>
        <w:rPr/>
        <w:t>dengan</w:t>
      </w:r>
      <w:r>
        <w:rPr>
          <w:spacing w:val="26"/>
        </w:rPr>
        <w:t>  </w:t>
      </w:r>
      <w:r>
        <w:rPr/>
        <w:t>waktu.</w:t>
      </w:r>
      <w:r>
        <w:rPr>
          <w:spacing w:val="25"/>
        </w:rPr>
        <w:t>  </w:t>
      </w:r>
      <w:r>
        <w:rPr/>
        <w:t>Dalam</w:t>
      </w:r>
      <w:r>
        <w:rPr>
          <w:spacing w:val="27"/>
        </w:rPr>
        <w:t>  </w:t>
      </w:r>
      <w:r>
        <w:rPr/>
        <w:t>riset</w:t>
      </w:r>
      <w:r>
        <w:rPr>
          <w:spacing w:val="25"/>
        </w:rPr>
        <w:t>  </w:t>
      </w:r>
      <w:r>
        <w:rPr/>
        <w:t>ini,</w:t>
      </w:r>
      <w:r>
        <w:rPr>
          <w:spacing w:val="25"/>
        </w:rPr>
        <w:t>  </w:t>
      </w:r>
      <w:r>
        <w:rPr/>
        <w:t>uji</w:t>
      </w:r>
      <w:r>
        <w:rPr>
          <w:spacing w:val="78"/>
          <w:w w:val="150"/>
        </w:rPr>
        <w:t> </w:t>
      </w:r>
      <w:r>
        <w:rPr>
          <w:i/>
        </w:rPr>
        <w:t>Durbin-</w:t>
      </w:r>
      <w:r>
        <w:rPr>
          <w:i/>
          <w:spacing w:val="-2"/>
        </w:rPr>
        <w:t>Watson</w:t>
      </w:r>
    </w:p>
    <w:p>
      <w:pPr>
        <w:pStyle w:val="BodyText"/>
        <w:spacing w:after="0"/>
        <w:jc w:val="both"/>
        <w:rPr>
          <w:i/>
        </w:rPr>
        <w:sectPr>
          <w:type w:val="continuous"/>
          <w:pgSz w:w="11910" w:h="16840"/>
          <w:pgMar w:header="795" w:footer="0" w:top="1080" w:bottom="280" w:left="1700" w:right="1559"/>
        </w:sectPr>
      </w:pPr>
    </w:p>
    <w:p>
      <w:pPr>
        <w:pStyle w:val="BodyText"/>
        <w:rPr>
          <w:i/>
        </w:rPr>
      </w:pPr>
    </w:p>
    <w:p>
      <w:pPr>
        <w:pStyle w:val="BodyText"/>
        <w:rPr>
          <w:i/>
        </w:rPr>
      </w:pPr>
    </w:p>
    <w:p>
      <w:pPr>
        <w:pStyle w:val="BodyText"/>
        <w:rPr>
          <w:i/>
        </w:rPr>
      </w:pPr>
    </w:p>
    <w:p>
      <w:pPr>
        <w:pStyle w:val="BodyText"/>
        <w:spacing w:before="54"/>
        <w:rPr>
          <w:i/>
        </w:rPr>
      </w:pPr>
    </w:p>
    <w:p>
      <w:pPr>
        <w:pStyle w:val="BodyText"/>
        <w:spacing w:line="235" w:lineRule="auto" w:before="1"/>
        <w:ind w:left="851" w:right="142"/>
        <w:jc w:val="both"/>
      </w:pPr>
      <w:r>
        <w:rPr/>
        <w:t>digunakan dengan</w:t>
      </w:r>
      <w:r>
        <w:rPr>
          <w:spacing w:val="-1"/>
        </w:rPr>
        <w:t> </w:t>
      </w:r>
      <w:r>
        <w:rPr/>
        <w:t>syarat bahwa variabel dependen tidak</w:t>
      </w:r>
      <w:r>
        <w:rPr>
          <w:spacing w:val="-3"/>
        </w:rPr>
        <w:t> </w:t>
      </w:r>
      <w:r>
        <w:rPr/>
        <w:t>memiliki</w:t>
      </w:r>
      <w:r>
        <w:rPr>
          <w:spacing w:val="-2"/>
        </w:rPr>
        <w:t> </w:t>
      </w:r>
      <w:r>
        <w:rPr>
          <w:i/>
        </w:rPr>
        <w:t>lag</w:t>
      </w:r>
      <w:r>
        <w:rPr/>
        <w:t>,</w:t>
      </w:r>
      <w:r>
        <w:rPr>
          <w:spacing w:val="-1"/>
        </w:rPr>
        <w:t> </w:t>
      </w:r>
      <w:r>
        <w:rPr/>
        <w:t>terdapat autokorelasi orde pertama, dan model mengandung konstanta.</w:t>
      </w:r>
    </w:p>
    <w:p>
      <w:pPr>
        <w:pStyle w:val="Heading2"/>
        <w:numPr>
          <w:ilvl w:val="0"/>
          <w:numId w:val="1"/>
        </w:numPr>
        <w:tabs>
          <w:tab w:pos="847" w:val="left" w:leader="none"/>
        </w:tabs>
        <w:spacing w:line="240" w:lineRule="auto" w:before="4" w:after="0"/>
        <w:ind w:left="847" w:right="0" w:hanging="279"/>
        <w:jc w:val="both"/>
      </w:pPr>
      <w:bookmarkStart w:name="d.Uji Auto Korelasi" w:id="29"/>
      <w:bookmarkEnd w:id="29"/>
      <w:r>
        <w:rPr/>
        <w:t>U</w:t>
      </w:r>
      <w:r>
        <w:rPr/>
        <w:t>ji</w:t>
      </w:r>
      <w:r>
        <w:rPr>
          <w:spacing w:val="-17"/>
        </w:rPr>
        <w:t> </w:t>
      </w:r>
      <w:r>
        <w:rPr/>
        <w:t>Auto</w:t>
      </w:r>
      <w:r>
        <w:rPr>
          <w:spacing w:val="-4"/>
        </w:rPr>
        <w:t> </w:t>
      </w:r>
      <w:r>
        <w:rPr>
          <w:spacing w:val="-2"/>
        </w:rPr>
        <w:t>Korelasi</w:t>
      </w:r>
    </w:p>
    <w:p>
      <w:pPr>
        <w:pStyle w:val="BodyText"/>
        <w:ind w:left="851" w:right="138"/>
        <w:jc w:val="both"/>
      </w:pPr>
      <w:r>
        <w:rPr/>
        <w:t>Uji </w:t>
      </w:r>
      <w:r>
        <w:rPr>
          <w:i/>
        </w:rPr>
        <w:t>Glejser </w:t>
      </w:r>
      <w:r>
        <w:rPr/>
        <w:t>digunakan dengan meregresikan nilai </w:t>
      </w:r>
      <w:r>
        <w:rPr>
          <w:i/>
        </w:rPr>
        <w:t>absolut residual </w:t>
      </w:r>
      <w:r>
        <w:rPr/>
        <w:t>terhadap variabel independen. Apabila nilai signifikansi </w:t>
      </w:r>
      <w:r>
        <w:rPr>
          <w:rFonts w:ascii="Cambria Math" w:hAnsi="Cambria Math"/>
        </w:rPr>
        <w:t>≥ </w:t>
      </w:r>
      <w:r>
        <w:rPr/>
        <w:t>dari 0,05, maka heteroskedastisitas tidak terjadi, sedangkan nilai signifikansi </w:t>
      </w:r>
      <w:r>
        <w:rPr>
          <w:rFonts w:ascii="Cambria Math" w:hAnsi="Cambria Math"/>
        </w:rPr>
        <w:t>≤ </w:t>
      </w:r>
      <w:r>
        <w:rPr/>
        <w:t>0,05 menunjukkan adanya heteroskedastisitas.</w:t>
      </w:r>
    </w:p>
    <w:p>
      <w:pPr>
        <w:pStyle w:val="Heading2"/>
        <w:spacing w:before="239"/>
      </w:pPr>
      <w:bookmarkStart w:name="Uji Kelayakan Model (Uji Statistik F)" w:id="30"/>
      <w:bookmarkEnd w:id="30"/>
      <w:r>
        <w:rPr>
          <w:b w:val="0"/>
        </w:rPr>
      </w:r>
      <w:r>
        <w:rPr/>
        <w:t>Uji</w:t>
      </w:r>
      <w:r>
        <w:rPr>
          <w:spacing w:val="-10"/>
        </w:rPr>
        <w:t> </w:t>
      </w:r>
      <w:r>
        <w:rPr/>
        <w:t>Kelayakan</w:t>
      </w:r>
      <w:r>
        <w:rPr>
          <w:spacing w:val="-9"/>
        </w:rPr>
        <w:t> </w:t>
      </w:r>
      <w:r>
        <w:rPr/>
        <w:t>Model</w:t>
      </w:r>
      <w:r>
        <w:rPr>
          <w:spacing w:val="-2"/>
        </w:rPr>
        <w:t> </w:t>
      </w:r>
      <w:r>
        <w:rPr/>
        <w:t>(Uji</w:t>
      </w:r>
      <w:r>
        <w:rPr>
          <w:spacing w:val="-2"/>
        </w:rPr>
        <w:t> </w:t>
      </w:r>
      <w:r>
        <w:rPr/>
        <w:t>Statistik</w:t>
      </w:r>
      <w:r>
        <w:rPr>
          <w:spacing w:val="-1"/>
        </w:rPr>
        <w:t> </w:t>
      </w:r>
      <w:r>
        <w:rPr>
          <w:spacing w:val="-5"/>
        </w:rPr>
        <w:t>F)</w:t>
      </w:r>
    </w:p>
    <w:p>
      <w:pPr>
        <w:pStyle w:val="BodyText"/>
        <w:ind w:left="568" w:right="137"/>
        <w:jc w:val="both"/>
      </w:pPr>
      <w:r>
        <w:rPr/>
        <w:t>Uji F digunakan untuk mengetahui apakah variabel independen secara simultan berpengaruh signifikan terhadap variabel dependen (PBV). Pengujian dilakukan dengan melihat nilai signifikansi (Sig.) pada hasil regresi. Apabila nilai Sig. ≤</w:t>
      </w:r>
      <w:r>
        <w:rPr>
          <w:spacing w:val="40"/>
        </w:rPr>
        <w:t> </w:t>
      </w:r>
      <w:r>
        <w:rPr/>
        <w:t>0,05 maka variabel independen secara bersama-sama berpengaruh signifikan terhadap PBV.</w:t>
      </w:r>
    </w:p>
    <w:p>
      <w:pPr>
        <w:pStyle w:val="Heading2"/>
        <w:spacing w:before="2"/>
      </w:pPr>
      <w:bookmarkStart w:name="Uji Statistik t" w:id="31"/>
      <w:bookmarkEnd w:id="31"/>
      <w:r>
        <w:rPr>
          <w:b w:val="0"/>
        </w:rPr>
      </w:r>
      <w:r>
        <w:rPr/>
        <w:t>Uji</w:t>
      </w:r>
      <w:r>
        <w:rPr>
          <w:spacing w:val="-5"/>
        </w:rPr>
        <w:t> </w:t>
      </w:r>
      <w:r>
        <w:rPr/>
        <w:t>Statistik</w:t>
      </w:r>
      <w:r>
        <w:rPr>
          <w:spacing w:val="-4"/>
        </w:rPr>
        <w:t> </w:t>
      </w:r>
      <w:r>
        <w:rPr>
          <w:spacing w:val="-10"/>
        </w:rPr>
        <w:t>t</w:t>
      </w:r>
    </w:p>
    <w:p>
      <w:pPr>
        <w:pStyle w:val="BodyText"/>
        <w:ind w:left="568" w:right="139" w:firstLine="566"/>
        <w:jc w:val="both"/>
      </w:pPr>
      <w:r>
        <w:rPr/>
        <w:t>Dalam uji ini, hipotesis nol diterima dan hipotesis alternatif ditolak apabila nilai signifikansi (</w:t>
      </w:r>
      <w:r>
        <w:rPr>
          <w:i/>
        </w:rPr>
        <w:t>p-value</w:t>
      </w:r>
      <w:r>
        <w:rPr/>
        <w:t>) lebih besar dari 0,05, yang berarti variabel bebas tersebut tidak berpengaruh signifikan terhadap variabel terikat dan begitu juga </w:t>
      </w:r>
      <w:r>
        <w:rPr>
          <w:spacing w:val="-2"/>
        </w:rPr>
        <w:t>sebaliknya.</w:t>
      </w:r>
    </w:p>
    <w:p>
      <w:pPr>
        <w:pStyle w:val="BodyText"/>
        <w:spacing w:before="7"/>
      </w:pPr>
    </w:p>
    <w:p>
      <w:pPr>
        <w:spacing w:before="1"/>
        <w:ind w:left="568" w:right="0" w:firstLine="0"/>
        <w:jc w:val="both"/>
        <w:rPr>
          <w:b/>
          <w:sz w:val="24"/>
        </w:rPr>
      </w:pPr>
      <w:r>
        <w:rPr>
          <w:b/>
          <w:sz w:val="24"/>
        </w:rPr>
        <w:t>Uji</w:t>
      </w:r>
      <w:r>
        <w:rPr>
          <w:b/>
          <w:spacing w:val="-11"/>
          <w:sz w:val="24"/>
        </w:rPr>
        <w:t> </w:t>
      </w:r>
      <w:r>
        <w:rPr>
          <w:b/>
          <w:sz w:val="24"/>
        </w:rPr>
        <w:t>Koefisien</w:t>
      </w:r>
      <w:r>
        <w:rPr>
          <w:b/>
          <w:spacing w:val="-5"/>
          <w:sz w:val="24"/>
        </w:rPr>
        <w:t> </w:t>
      </w:r>
      <w:r>
        <w:rPr>
          <w:b/>
          <w:sz w:val="24"/>
        </w:rPr>
        <w:t>Determinasi</w:t>
      </w:r>
      <w:r>
        <w:rPr>
          <w:b/>
          <w:spacing w:val="-5"/>
          <w:sz w:val="24"/>
        </w:rPr>
        <w:t> </w:t>
      </w:r>
      <w:r>
        <w:rPr>
          <w:b/>
          <w:sz w:val="24"/>
        </w:rPr>
        <w:t>(</w:t>
      </w:r>
      <w:r>
        <w:rPr>
          <w:b/>
          <w:i/>
          <w:sz w:val="24"/>
        </w:rPr>
        <w:t>Adjusted</w:t>
      </w:r>
      <w:r>
        <w:rPr>
          <w:b/>
          <w:i/>
          <w:spacing w:val="-3"/>
          <w:sz w:val="24"/>
        </w:rPr>
        <w:t> </w:t>
      </w:r>
      <w:r>
        <w:rPr>
          <w:b/>
          <w:spacing w:val="-10"/>
          <w:sz w:val="24"/>
        </w:rPr>
        <w:t>)</w:t>
      </w:r>
    </w:p>
    <w:p>
      <w:pPr>
        <w:pStyle w:val="BodyText"/>
        <w:ind w:left="568" w:right="137"/>
        <w:jc w:val="both"/>
      </w:pPr>
      <w:r>
        <w:rPr/>
        <w:t>Uji koefisien determinasi digunakan untuk mengukur seberapa besar kemampuan variabel</w:t>
      </w:r>
      <w:r>
        <w:rPr>
          <w:spacing w:val="-1"/>
        </w:rPr>
        <w:t> </w:t>
      </w:r>
      <w:r>
        <w:rPr/>
        <w:t>independen dalam menjelaskan variasi variabel</w:t>
      </w:r>
      <w:r>
        <w:rPr>
          <w:spacing w:val="-1"/>
        </w:rPr>
        <w:t> </w:t>
      </w:r>
      <w:r>
        <w:rPr/>
        <w:t>dependen.</w:t>
      </w:r>
      <w:r>
        <w:rPr>
          <w:spacing w:val="-2"/>
        </w:rPr>
        <w:t> </w:t>
      </w:r>
      <w:r>
        <w:rPr/>
        <w:t>Nilai koefisien determinasi (R²) berada pada rentang 0 sampai 1. Semakin mendekati nilai 1, semakin besar kemampuan model dalam menjelaskan variasi nilai perusahaan, sedangkan nilai R² yang kecil menunjukkan bahwa masih terdapat faktor lain di luar model yang memengaruhi variabel dependen (Rasdianto, 2019).</w:t>
      </w:r>
    </w:p>
    <w:p>
      <w:pPr>
        <w:pStyle w:val="BodyText"/>
        <w:spacing w:before="163"/>
      </w:pPr>
    </w:p>
    <w:p>
      <w:pPr>
        <w:pStyle w:val="Heading1"/>
      </w:pPr>
      <w:bookmarkStart w:name="HASIL DAN PEMBAHASAN" w:id="32"/>
      <w:bookmarkEnd w:id="32"/>
      <w:r>
        <w:rPr>
          <w:b w:val="0"/>
        </w:rPr>
      </w:r>
      <w:bookmarkStart w:name="Hasil Pengumpulan Data Penelitian" w:id="33"/>
      <w:bookmarkEnd w:id="33"/>
      <w:r>
        <w:rPr>
          <w:b w:val="0"/>
        </w:rPr>
      </w:r>
      <w:r>
        <w:rPr/>
        <w:t>HASIL</w:t>
      </w:r>
      <w:r>
        <w:rPr>
          <w:spacing w:val="-19"/>
        </w:rPr>
        <w:t> </w:t>
      </w:r>
      <w:r>
        <w:rPr/>
        <w:t>DAN</w:t>
      </w:r>
      <w:r>
        <w:rPr>
          <w:spacing w:val="-4"/>
        </w:rPr>
        <w:t> </w:t>
      </w:r>
      <w:r>
        <w:rPr>
          <w:spacing w:val="-2"/>
        </w:rPr>
        <w:t>PEMBAHASAN</w:t>
      </w:r>
    </w:p>
    <w:p>
      <w:pPr>
        <w:pStyle w:val="Heading2"/>
        <w:ind w:left="0" w:right="3846"/>
        <w:jc w:val="center"/>
      </w:pPr>
      <w:r>
        <w:rPr/>
        <w:t>Hasil</w:t>
      </w:r>
      <w:r>
        <w:rPr>
          <w:spacing w:val="-10"/>
        </w:rPr>
        <w:t> </w:t>
      </w:r>
      <w:r>
        <w:rPr/>
        <w:t>Pengumpulan</w:t>
      </w:r>
      <w:r>
        <w:rPr>
          <w:spacing w:val="-7"/>
        </w:rPr>
        <w:t> </w:t>
      </w:r>
      <w:r>
        <w:rPr/>
        <w:t>Data</w:t>
      </w:r>
      <w:r>
        <w:rPr>
          <w:spacing w:val="-2"/>
        </w:rPr>
        <w:t> Penelitian</w:t>
      </w:r>
    </w:p>
    <w:p>
      <w:pPr>
        <w:spacing w:before="0" w:after="3"/>
        <w:ind w:left="423" w:right="0" w:firstLine="0"/>
        <w:jc w:val="center"/>
        <w:rPr>
          <w:b/>
          <w:sz w:val="24"/>
        </w:rPr>
      </w:pPr>
      <w:r>
        <w:rPr>
          <w:b/>
          <w:sz w:val="24"/>
        </w:rPr>
        <w:t>Tabel</w:t>
      </w:r>
      <w:r>
        <w:rPr>
          <w:b/>
          <w:spacing w:val="-13"/>
          <w:sz w:val="24"/>
        </w:rPr>
        <w:t> </w:t>
      </w:r>
      <w:r>
        <w:rPr>
          <w:b/>
          <w:sz w:val="24"/>
        </w:rPr>
        <w:t>1.</w:t>
      </w:r>
      <w:r>
        <w:rPr>
          <w:b/>
          <w:spacing w:val="-13"/>
          <w:sz w:val="24"/>
        </w:rPr>
        <w:t> </w:t>
      </w:r>
      <w:r>
        <w:rPr>
          <w:b/>
          <w:sz w:val="24"/>
        </w:rPr>
        <w:t>Pengambilan</w:t>
      </w:r>
      <w:r>
        <w:rPr>
          <w:b/>
          <w:spacing w:val="-10"/>
          <w:sz w:val="24"/>
        </w:rPr>
        <w:t> </w:t>
      </w:r>
      <w:r>
        <w:rPr>
          <w:b/>
          <w:sz w:val="24"/>
        </w:rPr>
        <w:t>Sampel</w:t>
      </w:r>
      <w:r>
        <w:rPr>
          <w:b/>
          <w:spacing w:val="-9"/>
          <w:sz w:val="24"/>
        </w:rPr>
        <w:t> </w:t>
      </w:r>
      <w:r>
        <w:rPr>
          <w:b/>
          <w:spacing w:val="-2"/>
          <w:sz w:val="24"/>
        </w:rPr>
        <w:t>Penelitian</w:t>
      </w:r>
    </w:p>
    <w:p>
      <w:pPr>
        <w:spacing w:line="20" w:lineRule="exact"/>
        <w:ind w:left="475" w:right="0" w:firstLine="0"/>
        <w:rPr>
          <w:sz w:val="2"/>
        </w:rPr>
      </w:pPr>
      <w:r>
        <w:rPr>
          <w:sz w:val="2"/>
        </w:rPr>
        <mc:AlternateContent>
          <mc:Choice Requires="wps">
            <w:drawing>
              <wp:inline distT="0" distB="0" distL="0" distR="0">
                <wp:extent cx="4965700" cy="7620"/>
                <wp:effectExtent l="0" t="0" r="0" b="0"/>
                <wp:docPr id="14" name="Group 14"/>
                <wp:cNvGraphicFramePr>
                  <a:graphicFrameLocks/>
                </wp:cNvGraphicFramePr>
                <a:graphic>
                  <a:graphicData uri="http://schemas.microsoft.com/office/word/2010/wordprocessingGroup">
                    <wpg:wgp>
                      <wpg:cNvPr id="14" name="Group 14"/>
                      <wpg:cNvGrpSpPr/>
                      <wpg:grpSpPr>
                        <a:xfrm>
                          <a:off x="0" y="0"/>
                          <a:ext cx="4965700" cy="7620"/>
                          <a:chExt cx="4965700" cy="7620"/>
                        </a:xfrm>
                      </wpg:grpSpPr>
                      <wps:wsp>
                        <wps:cNvPr id="15" name="Graphic 15"/>
                        <wps:cNvSpPr/>
                        <wps:spPr>
                          <a:xfrm>
                            <a:off x="0" y="0"/>
                            <a:ext cx="4965700" cy="7620"/>
                          </a:xfrm>
                          <a:custGeom>
                            <a:avLst/>
                            <a:gdLst/>
                            <a:ahLst/>
                            <a:cxnLst/>
                            <a:rect l="l" t="t" r="r" b="b"/>
                            <a:pathLst>
                              <a:path w="4965700" h="7620">
                                <a:moveTo>
                                  <a:pt x="4965700" y="7620"/>
                                </a:moveTo>
                                <a:lnTo>
                                  <a:pt x="0" y="7620"/>
                                </a:lnTo>
                                <a:lnTo>
                                  <a:pt x="0" y="0"/>
                                </a:lnTo>
                                <a:lnTo>
                                  <a:pt x="4965700" y="0"/>
                                </a:lnTo>
                                <a:lnTo>
                                  <a:pt x="4965700"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1pt;height:.6pt;mso-position-horizontal-relative:char;mso-position-vertical-relative:line" id="docshapegroup11" coordorigin="0,0" coordsize="7820,12">
                <v:rect style="position:absolute;left:0;top:0;width:7820;height:12" id="docshape12" filled="true" fillcolor="#000000" stroked="false">
                  <v:fill type="solid"/>
                </v:rect>
              </v:group>
            </w:pict>
          </mc:Fallback>
        </mc:AlternateContent>
      </w:r>
      <w:r>
        <w:rPr>
          <w:sz w:val="2"/>
        </w:rPr>
      </w:r>
    </w:p>
    <w:p>
      <w:pPr>
        <w:pStyle w:val="Heading2"/>
        <w:tabs>
          <w:tab w:pos="1805" w:val="left" w:leader="none"/>
          <w:tab w:pos="6473" w:val="left" w:leader="none"/>
        </w:tabs>
        <w:spacing w:before="1"/>
        <w:ind w:left="5"/>
        <w:jc w:val="center"/>
      </w:pPr>
      <w:r>
        <w:rPr/>
        <mc:AlternateContent>
          <mc:Choice Requires="wps">
            <w:drawing>
              <wp:anchor distT="0" distB="0" distL="0" distR="0" allowOverlap="1" layoutInCell="1" locked="0" behindDoc="0" simplePos="0" relativeHeight="15731200">
                <wp:simplePos x="0" y="0"/>
                <wp:positionH relativeFrom="page">
                  <wp:posOffset>1376044</wp:posOffset>
                </wp:positionH>
                <wp:positionV relativeFrom="paragraph">
                  <wp:posOffset>178435</wp:posOffset>
                </wp:positionV>
                <wp:extent cx="4966335" cy="1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4966335" cy="1270"/>
                        </a:xfrm>
                        <a:custGeom>
                          <a:avLst/>
                          <a:gdLst/>
                          <a:ahLst/>
                          <a:cxnLst/>
                          <a:rect l="l" t="t" r="r" b="b"/>
                          <a:pathLst>
                            <a:path w="4966335" h="0">
                              <a:moveTo>
                                <a:pt x="0" y="0"/>
                              </a:moveTo>
                              <a:lnTo>
                                <a:pt x="496633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108.349998pt,14.05pt" to="499.399998pt,14.05pt" stroked="true" strokeweight=".48pt" strokecolor="#000000">
                <v:stroke dashstyle="solid"/>
                <w10:wrap type="none"/>
              </v:line>
            </w:pict>
          </mc:Fallback>
        </mc:AlternateContent>
      </w:r>
      <w:bookmarkStart w:name="NoKriteria Pengambilan SampelJumlah" w:id="34"/>
      <w:bookmarkEnd w:id="34"/>
      <w:r>
        <w:rPr>
          <w:b w:val="0"/>
        </w:rPr>
      </w:r>
      <w:r>
        <w:rPr>
          <w:spacing w:val="-5"/>
        </w:rPr>
        <w:t>No</w:t>
      </w:r>
      <w:r>
        <w:rPr/>
        <w:tab/>
        <w:t>Kriteria</w:t>
      </w:r>
      <w:r>
        <w:rPr>
          <w:spacing w:val="-6"/>
        </w:rPr>
        <w:t> </w:t>
      </w:r>
      <w:r>
        <w:rPr/>
        <w:t>Pengambilan</w:t>
      </w:r>
      <w:r>
        <w:rPr>
          <w:spacing w:val="-9"/>
        </w:rPr>
        <w:t> </w:t>
      </w:r>
      <w:r>
        <w:rPr>
          <w:spacing w:val="-2"/>
        </w:rPr>
        <w:t>Sampel</w:t>
      </w:r>
      <w:r>
        <w:rPr/>
        <w:tab/>
      </w:r>
      <w:r>
        <w:rPr>
          <w:spacing w:val="-2"/>
        </w:rPr>
        <w:t>Jumlah</w:t>
      </w:r>
    </w:p>
    <w:p>
      <w:pPr>
        <w:pStyle w:val="Heading2"/>
        <w:spacing w:after="0"/>
        <w:jc w:val="center"/>
        <w:sectPr>
          <w:pgSz w:w="11910" w:h="16840"/>
          <w:pgMar w:header="795" w:footer="0" w:top="1080" w:bottom="280" w:left="1700" w:right="1559"/>
        </w:sectPr>
      </w:pPr>
    </w:p>
    <w:p>
      <w:pPr>
        <w:pStyle w:val="ListParagraph"/>
        <w:numPr>
          <w:ilvl w:val="1"/>
          <w:numId w:val="1"/>
        </w:numPr>
        <w:tabs>
          <w:tab w:pos="1357" w:val="left" w:leader="none"/>
        </w:tabs>
        <w:spacing w:line="235" w:lineRule="auto" w:before="9" w:after="0"/>
        <w:ind w:left="1357" w:right="0" w:hanging="593"/>
        <w:jc w:val="both"/>
        <w:rPr>
          <w:sz w:val="24"/>
        </w:rPr>
      </w:pPr>
      <w:r>
        <w:rPr>
          <w:sz w:val="24"/>
        </w:rPr>
        <w:t>Semua perusahaan</w:t>
      </w:r>
      <w:r>
        <w:rPr>
          <w:spacing w:val="40"/>
          <w:sz w:val="24"/>
        </w:rPr>
        <w:t> </w:t>
      </w:r>
      <w:r>
        <w:rPr>
          <w:sz w:val="24"/>
        </w:rPr>
        <w:t>subsektor telekomunikasi terdaftar di Bursa Efek Indonesia (BEI) tahun </w:t>
      </w:r>
      <w:r>
        <w:rPr>
          <w:spacing w:val="-2"/>
          <w:sz w:val="24"/>
        </w:rPr>
        <w:t>2024.</w:t>
      </w:r>
    </w:p>
    <w:p>
      <w:pPr>
        <w:pStyle w:val="BodyText"/>
        <w:tabs>
          <w:tab w:pos="1599" w:val="right" w:leader="none"/>
        </w:tabs>
        <w:spacing w:line="280" w:lineRule="exact"/>
        <w:ind w:left="185"/>
        <w:rPr>
          <w:position w:val="1"/>
        </w:rPr>
      </w:pPr>
      <w:r>
        <w:rPr/>
        <w:br w:type="column"/>
      </w:r>
      <w:r>
        <w:rPr>
          <w:spacing w:val="-4"/>
        </w:rPr>
        <w:t>yang</w:t>
      </w:r>
      <w:r>
        <w:rPr/>
        <w:tab/>
      </w:r>
      <w:r>
        <w:rPr>
          <w:spacing w:val="-5"/>
          <w:position w:val="1"/>
        </w:rPr>
        <w:t>19</w:t>
      </w:r>
    </w:p>
    <w:p>
      <w:pPr>
        <w:pStyle w:val="BodyText"/>
        <w:spacing w:line="275" w:lineRule="exact"/>
        <w:ind w:left="94"/>
      </w:pPr>
      <w:r>
        <w:rPr/>
        <w:t>2020-</w:t>
      </w:r>
    </w:p>
    <w:p>
      <w:pPr>
        <w:pStyle w:val="BodyText"/>
        <w:spacing w:after="0" w:line="275" w:lineRule="exact"/>
        <w:sectPr>
          <w:type w:val="continuous"/>
          <w:pgSz w:w="11910" w:h="16840"/>
          <w:pgMar w:header="795" w:footer="0" w:top="1080" w:bottom="280" w:left="1700" w:right="1559"/>
          <w:cols w:num="2" w:equalWidth="0">
            <w:col w:w="6045" w:space="40"/>
            <w:col w:w="2566"/>
          </w:cols>
        </w:sectPr>
      </w:pPr>
    </w:p>
    <w:sdt>
      <w:sdtPr>
        <w:docPartObj>
          <w:docPartGallery w:val="Table of Contents"/>
          <w:docPartUnique/>
        </w:docPartObj>
      </w:sdtPr>
      <w:sdtEndPr/>
      <w:sdtContent>
        <w:p>
          <w:pPr>
            <w:pStyle w:val="TOC1"/>
            <w:numPr>
              <w:ilvl w:val="1"/>
              <w:numId w:val="1"/>
            </w:numPr>
            <w:tabs>
              <w:tab w:pos="1357" w:val="left" w:leader="none"/>
              <w:tab w:pos="7683" w:val="right" w:leader="none"/>
            </w:tabs>
            <w:spacing w:line="270" w:lineRule="exact" w:before="10" w:after="0"/>
            <w:ind w:left="1357" w:right="0" w:hanging="590"/>
            <w:jc w:val="left"/>
          </w:pPr>
          <w:r>
            <w:rPr/>
            <mc:AlternateContent>
              <mc:Choice Requires="wps">
                <w:drawing>
                  <wp:anchor distT="0" distB="0" distL="0" distR="0" allowOverlap="1" layoutInCell="1" locked="0" behindDoc="0" simplePos="0" relativeHeight="15731712">
                    <wp:simplePos x="0" y="0"/>
                    <wp:positionH relativeFrom="page">
                      <wp:posOffset>1376044</wp:posOffset>
                    </wp:positionH>
                    <wp:positionV relativeFrom="paragraph">
                      <wp:posOffset>13114</wp:posOffset>
                    </wp:positionV>
                    <wp:extent cx="4966335"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966335" cy="1270"/>
                            </a:xfrm>
                            <a:custGeom>
                              <a:avLst/>
                              <a:gdLst/>
                              <a:ahLst/>
                              <a:cxnLst/>
                              <a:rect l="l" t="t" r="r" b="b"/>
                              <a:pathLst>
                                <a:path w="4966335" h="0">
                                  <a:moveTo>
                                    <a:pt x="0" y="0"/>
                                  </a:moveTo>
                                  <a:lnTo>
                                    <a:pt x="496633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108.349998pt,1.032617pt" to="499.399998pt,1.032617pt" stroked="true" strokeweight=".48pt" strokecolor="#000000">
                    <v:stroke dashstyle="solid"/>
                    <w10:wrap type="none"/>
                  </v:line>
                </w:pict>
              </mc:Fallback>
            </mc:AlternateContent>
          </w:r>
          <w:r>
            <w:rPr/>
            <w:t>Perusahaan</w:t>
          </w:r>
          <w:r>
            <w:rPr>
              <w:spacing w:val="29"/>
            </w:rPr>
            <w:t>  </w:t>
          </w:r>
          <w:r>
            <w:rPr/>
            <w:t>yang</w:t>
          </w:r>
          <w:r>
            <w:rPr>
              <w:spacing w:val="30"/>
            </w:rPr>
            <w:t>  </w:t>
          </w:r>
          <w:r>
            <w:rPr/>
            <w:t>memiliki</w:t>
          </w:r>
          <w:r>
            <w:rPr>
              <w:spacing w:val="28"/>
            </w:rPr>
            <w:t>  </w:t>
          </w:r>
          <w:r>
            <w:rPr/>
            <w:t>data</w:t>
          </w:r>
          <w:r>
            <w:rPr>
              <w:spacing w:val="29"/>
            </w:rPr>
            <w:t>  </w:t>
          </w:r>
          <w:r>
            <w:rPr/>
            <w:t>laporan</w:t>
          </w:r>
          <w:r>
            <w:rPr>
              <w:spacing w:val="31"/>
            </w:rPr>
            <w:t>  </w:t>
          </w:r>
          <w:r>
            <w:rPr>
              <w:spacing w:val="-2"/>
            </w:rPr>
            <w:t>keuangan</w:t>
          </w:r>
          <w:r>
            <w:rPr/>
            <w:tab/>
          </w:r>
          <w:r>
            <w:rPr>
              <w:spacing w:val="-5"/>
            </w:rPr>
            <w:t>18</w:t>
          </w:r>
        </w:p>
        <w:p>
          <w:pPr>
            <w:pStyle w:val="TOC3"/>
          </w:pPr>
          <w:r>
            <w:rPr/>
            <w:t>lengkap</w:t>
          </w:r>
          <w:r>
            <w:rPr>
              <w:spacing w:val="-5"/>
            </w:rPr>
            <w:t> </w:t>
          </w:r>
          <w:r>
            <w:rPr/>
            <w:t>yang</w:t>
          </w:r>
          <w:r>
            <w:rPr>
              <w:spacing w:val="-1"/>
            </w:rPr>
            <w:t> </w:t>
          </w:r>
          <w:r>
            <w:rPr/>
            <w:t>dibutuhkan</w:t>
          </w:r>
          <w:r>
            <w:rPr>
              <w:spacing w:val="-4"/>
            </w:rPr>
            <w:t> </w:t>
          </w:r>
          <w:r>
            <w:rPr/>
            <w:t>dalam</w:t>
          </w:r>
          <w:r>
            <w:rPr>
              <w:spacing w:val="-2"/>
            </w:rPr>
            <w:t> penelitian.</w:t>
          </w:r>
        </w:p>
        <w:p>
          <w:pPr>
            <w:pStyle w:val="TOC1"/>
            <w:numPr>
              <w:ilvl w:val="1"/>
              <w:numId w:val="1"/>
            </w:numPr>
            <w:tabs>
              <w:tab w:pos="1357" w:val="left" w:leader="none"/>
              <w:tab w:pos="7626" w:val="right" w:leader="none"/>
            </w:tabs>
            <w:spacing w:line="270" w:lineRule="exact" w:before="26" w:after="0"/>
            <w:ind w:left="1357" w:right="0" w:hanging="590"/>
            <w:jc w:val="left"/>
          </w:pPr>
          <w:r>
            <w:rPr/>
            <mc:AlternateContent>
              <mc:Choice Requires="wps">
                <w:drawing>
                  <wp:anchor distT="0" distB="0" distL="0" distR="0" allowOverlap="1" layoutInCell="1" locked="0" behindDoc="0" simplePos="0" relativeHeight="15732224">
                    <wp:simplePos x="0" y="0"/>
                    <wp:positionH relativeFrom="page">
                      <wp:posOffset>1376044</wp:posOffset>
                    </wp:positionH>
                    <wp:positionV relativeFrom="paragraph">
                      <wp:posOffset>20736</wp:posOffset>
                    </wp:positionV>
                    <wp:extent cx="4966335"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966335" cy="1270"/>
                            </a:xfrm>
                            <a:custGeom>
                              <a:avLst/>
                              <a:gdLst/>
                              <a:ahLst/>
                              <a:cxnLst/>
                              <a:rect l="l" t="t" r="r" b="b"/>
                              <a:pathLst>
                                <a:path w="4966335" h="0">
                                  <a:moveTo>
                                    <a:pt x="0" y="0"/>
                                  </a:moveTo>
                                  <a:lnTo>
                                    <a:pt x="496633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108.349998pt,1.6328pt" to="499.399998pt,1.6328pt" stroked="true" strokeweight=".48pt" strokecolor="#000000">
                    <v:stroke dashstyle="solid"/>
                    <w10:wrap type="none"/>
                  </v:line>
                </w:pict>
              </mc:Fallback>
            </mc:AlternateContent>
          </w:r>
          <w:r>
            <w:rPr/>
            <w:t>Perusahaan</w:t>
          </w:r>
          <w:r>
            <w:rPr>
              <w:spacing w:val="59"/>
              <w:w w:val="150"/>
            </w:rPr>
            <w:t> </w:t>
          </w:r>
          <w:r>
            <w:rPr/>
            <w:t>yang</w:t>
          </w:r>
          <w:r>
            <w:rPr>
              <w:spacing w:val="64"/>
              <w:w w:val="150"/>
            </w:rPr>
            <w:t> </w:t>
          </w:r>
          <w:r>
            <w:rPr/>
            <w:t>tidak</w:t>
          </w:r>
          <w:r>
            <w:rPr>
              <w:spacing w:val="61"/>
              <w:w w:val="150"/>
            </w:rPr>
            <w:t> </w:t>
          </w:r>
          <w:r>
            <w:rPr/>
            <w:t>mengalami</w:t>
          </w:r>
          <w:r>
            <w:rPr>
              <w:spacing w:val="63"/>
              <w:w w:val="150"/>
            </w:rPr>
            <w:t> </w:t>
          </w:r>
          <w:r>
            <w:rPr>
              <w:i/>
            </w:rPr>
            <w:t>delisting</w:t>
          </w:r>
          <w:r>
            <w:rPr>
              <w:i/>
              <w:spacing w:val="62"/>
              <w:w w:val="150"/>
            </w:rPr>
            <w:t> </w:t>
          </w:r>
          <w:r>
            <w:rPr>
              <w:spacing w:val="-2"/>
            </w:rPr>
            <w:t>selama</w:t>
          </w:r>
          <w:r>
            <w:rPr/>
            <w:tab/>
          </w:r>
          <w:r>
            <w:rPr>
              <w:spacing w:val="-10"/>
            </w:rPr>
            <w:t>1</w:t>
          </w:r>
        </w:p>
        <w:p>
          <w:pPr>
            <w:pStyle w:val="TOC3"/>
          </w:pPr>
          <w:hyperlink w:history="true" w:anchor="_TOC_250000">
            <w:r>
              <w:rPr/>
              <w:t>tahun</w:t>
            </w:r>
            <w:r>
              <w:rPr>
                <w:spacing w:val="-5"/>
              </w:rPr>
              <w:t> </w:t>
            </w:r>
            <w:r>
              <w:rPr/>
              <w:t>2020-</w:t>
            </w:r>
            <w:r>
              <w:rPr>
                <w:spacing w:val="-2"/>
              </w:rPr>
              <w:t>2024.</w:t>
            </w:r>
          </w:hyperlink>
        </w:p>
        <w:p>
          <w:pPr>
            <w:pStyle w:val="TOC1"/>
            <w:numPr>
              <w:ilvl w:val="1"/>
              <w:numId w:val="1"/>
            </w:numPr>
            <w:tabs>
              <w:tab w:pos="1357" w:val="left" w:leader="none"/>
              <w:tab w:pos="7626" w:val="right" w:leader="none"/>
            </w:tabs>
            <w:spacing w:line="271" w:lineRule="exact" w:before="22" w:after="0"/>
            <w:ind w:left="1357" w:right="0" w:hanging="590"/>
            <w:jc w:val="left"/>
          </w:pPr>
          <w:r>
            <w:rPr/>
            <mc:AlternateContent>
              <mc:Choice Requires="wps">
                <w:drawing>
                  <wp:anchor distT="0" distB="0" distL="0" distR="0" allowOverlap="1" layoutInCell="1" locked="0" behindDoc="0" simplePos="0" relativeHeight="15732736">
                    <wp:simplePos x="0" y="0"/>
                    <wp:positionH relativeFrom="page">
                      <wp:posOffset>1376044</wp:posOffset>
                    </wp:positionH>
                    <wp:positionV relativeFrom="paragraph">
                      <wp:posOffset>18211</wp:posOffset>
                    </wp:positionV>
                    <wp:extent cx="4966335"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4966335" cy="1270"/>
                            </a:xfrm>
                            <a:custGeom>
                              <a:avLst/>
                              <a:gdLst/>
                              <a:ahLst/>
                              <a:cxnLst/>
                              <a:rect l="l" t="t" r="r" b="b"/>
                              <a:pathLst>
                                <a:path w="4966335" h="0">
                                  <a:moveTo>
                                    <a:pt x="0" y="0"/>
                                  </a:moveTo>
                                  <a:lnTo>
                                    <a:pt x="496633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108.349998pt,1.433975pt" to="499.399998pt,1.433975pt" stroked="true" strokeweight=".48pt" strokecolor="#000000">
                    <v:stroke dashstyle="solid"/>
                    <w10:wrap type="none"/>
                  </v:line>
                </w:pict>
              </mc:Fallback>
            </mc:AlternateContent>
          </w:r>
          <w:r>
            <w:rPr/>
            <w:t>Perusahaan</w:t>
          </w:r>
          <w:r>
            <w:rPr>
              <w:spacing w:val="58"/>
              <w:w w:val="150"/>
            </w:rPr>
            <w:t> </w:t>
          </w:r>
          <w:r>
            <w:rPr/>
            <w:t>yang</w:t>
          </w:r>
          <w:r>
            <w:rPr>
              <w:spacing w:val="68"/>
              <w:w w:val="150"/>
            </w:rPr>
            <w:t> </w:t>
          </w:r>
          <w:r>
            <w:rPr/>
            <w:t>tidak</w:t>
          </w:r>
          <w:r>
            <w:rPr>
              <w:spacing w:val="66"/>
              <w:w w:val="150"/>
            </w:rPr>
            <w:t> </w:t>
          </w:r>
          <w:r>
            <w:rPr/>
            <w:t>mengalami</w:t>
          </w:r>
          <w:r>
            <w:rPr>
              <w:spacing w:val="64"/>
              <w:w w:val="150"/>
            </w:rPr>
            <w:t> </w:t>
          </w:r>
          <w:r>
            <w:rPr/>
            <w:t>suspensi</w:t>
          </w:r>
          <w:r>
            <w:rPr>
              <w:spacing w:val="64"/>
              <w:w w:val="150"/>
            </w:rPr>
            <w:t> </w:t>
          </w:r>
          <w:r>
            <w:rPr>
              <w:spacing w:val="-2"/>
            </w:rPr>
            <w:t>selama</w:t>
          </w:r>
          <w:r>
            <w:rPr/>
            <w:tab/>
          </w:r>
          <w:r>
            <w:rPr>
              <w:spacing w:val="-10"/>
            </w:rPr>
            <w:t>1</w:t>
          </w:r>
        </w:p>
        <w:p>
          <w:pPr>
            <w:pStyle w:val="TOC3"/>
            <w:spacing w:line="271" w:lineRule="exact"/>
          </w:pPr>
          <w:r>
            <w:rPr/>
            <w:t>tahun</w:t>
          </w:r>
          <w:r>
            <w:rPr>
              <w:spacing w:val="-5"/>
            </w:rPr>
            <w:t> </w:t>
          </w:r>
          <w:r>
            <w:rPr/>
            <w:t>2020-</w:t>
          </w:r>
          <w:r>
            <w:rPr>
              <w:spacing w:val="-2"/>
            </w:rPr>
            <w:t>2024.</w:t>
          </w:r>
        </w:p>
        <w:p>
          <w:pPr>
            <w:pStyle w:val="TOC2"/>
            <w:tabs>
              <w:tab w:pos="7683" w:val="right" w:leader="none"/>
            </w:tabs>
          </w:pPr>
          <w:r>
            <w:rPr/>
            <mc:AlternateContent>
              <mc:Choice Requires="wps">
                <w:drawing>
                  <wp:anchor distT="0" distB="0" distL="0" distR="0" allowOverlap="1" layoutInCell="1" locked="0" behindDoc="0" simplePos="0" relativeHeight="15733248">
                    <wp:simplePos x="0" y="0"/>
                    <wp:positionH relativeFrom="page">
                      <wp:posOffset>1376044</wp:posOffset>
                    </wp:positionH>
                    <wp:positionV relativeFrom="paragraph">
                      <wp:posOffset>16689</wp:posOffset>
                    </wp:positionV>
                    <wp:extent cx="4966335"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4966335" cy="1270"/>
                            </a:xfrm>
                            <a:custGeom>
                              <a:avLst/>
                              <a:gdLst/>
                              <a:ahLst/>
                              <a:cxnLst/>
                              <a:rect l="l" t="t" r="r" b="b"/>
                              <a:pathLst>
                                <a:path w="4966335" h="0">
                                  <a:moveTo>
                                    <a:pt x="0" y="0"/>
                                  </a:moveTo>
                                  <a:lnTo>
                                    <a:pt x="496633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108.349998pt,1.314148pt" to="499.399998pt,1.314148pt" stroked="true" strokeweight=".48pt" strokecolor="#000000">
                    <v:stroke dashstyle="solid"/>
                    <w10:wrap type="none"/>
                  </v:line>
                </w:pict>
              </mc:Fallback>
            </mc:AlternateContent>
          </w:r>
          <w:r>
            <w:rPr/>
            <w:t>Jumlah</w:t>
          </w:r>
          <w:r>
            <w:rPr>
              <w:spacing w:val="-7"/>
            </w:rPr>
            <w:t> </w:t>
          </w:r>
          <w:r>
            <w:rPr/>
            <w:t>perusahaan</w:t>
          </w:r>
          <w:r>
            <w:rPr>
              <w:spacing w:val="-6"/>
            </w:rPr>
            <w:t> </w:t>
          </w:r>
          <w:r>
            <w:rPr/>
            <w:t>yang</w:t>
          </w:r>
          <w:r>
            <w:rPr>
              <w:spacing w:val="-6"/>
            </w:rPr>
            <w:t> </w:t>
          </w:r>
          <w:r>
            <w:rPr/>
            <w:t>memenuhi</w:t>
          </w:r>
          <w:r>
            <w:rPr>
              <w:spacing w:val="-7"/>
            </w:rPr>
            <w:t> </w:t>
          </w:r>
          <w:r>
            <w:rPr>
              <w:spacing w:val="-2"/>
            </w:rPr>
            <w:t>kriteria</w:t>
          </w:r>
          <w:r>
            <w:rPr>
              <w:b w:val="0"/>
            </w:rPr>
            <w:tab/>
          </w:r>
          <w:r>
            <w:rPr>
              <w:spacing w:val="-5"/>
            </w:rPr>
            <w:t>16</w:t>
          </w:r>
        </w:p>
      </w:sdtContent>
    </w:sdt>
    <w:p>
      <w:pPr>
        <w:tabs>
          <w:tab w:pos="7506" w:val="left" w:leader="none"/>
        </w:tabs>
        <w:spacing w:before="7"/>
        <w:ind w:left="1357" w:right="0" w:firstLine="0"/>
        <w:jc w:val="left"/>
        <w:rPr>
          <w:b/>
          <w:sz w:val="24"/>
        </w:rPr>
      </w:pPr>
      <w:r>
        <w:rPr>
          <w:b/>
          <w:sz w:val="24"/>
        </w:rPr>
        <mc:AlternateContent>
          <mc:Choice Requires="wps">
            <w:drawing>
              <wp:anchor distT="0" distB="0" distL="0" distR="0" allowOverlap="1" layoutInCell="1" locked="0" behindDoc="0" simplePos="0" relativeHeight="15733760">
                <wp:simplePos x="0" y="0"/>
                <wp:positionH relativeFrom="page">
                  <wp:posOffset>1376044</wp:posOffset>
                </wp:positionH>
                <wp:positionV relativeFrom="paragraph">
                  <wp:posOffset>14799</wp:posOffset>
                </wp:positionV>
                <wp:extent cx="4966335"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4966335" cy="1270"/>
                        </a:xfrm>
                        <a:custGeom>
                          <a:avLst/>
                          <a:gdLst/>
                          <a:ahLst/>
                          <a:cxnLst/>
                          <a:rect l="l" t="t" r="r" b="b"/>
                          <a:pathLst>
                            <a:path w="4966335" h="0">
                              <a:moveTo>
                                <a:pt x="0" y="0"/>
                              </a:moveTo>
                              <a:lnTo>
                                <a:pt x="496633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108.349998pt,1.165320pt" to="499.399998pt,1.165320pt" stroked="true" strokeweight=".48pt" strokecolor="#000000">
                <v:stroke dashstyle="solid"/>
                <w10:wrap type="none"/>
              </v:line>
            </w:pict>
          </mc:Fallback>
        </mc:AlternateContent>
      </w:r>
      <w:r>
        <w:rPr>
          <w:b/>
          <w:sz w:val="24"/>
        </w:rPr>
        <mc:AlternateContent>
          <mc:Choice Requires="wps">
            <w:drawing>
              <wp:anchor distT="0" distB="0" distL="0" distR="0" allowOverlap="1" layoutInCell="1" locked="0" behindDoc="0" simplePos="0" relativeHeight="15734272">
                <wp:simplePos x="0" y="0"/>
                <wp:positionH relativeFrom="page">
                  <wp:posOffset>1376044</wp:posOffset>
                </wp:positionH>
                <wp:positionV relativeFrom="paragraph">
                  <wp:posOffset>196409</wp:posOffset>
                </wp:positionV>
                <wp:extent cx="4966335" cy="12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966335" cy="1270"/>
                        </a:xfrm>
                        <a:custGeom>
                          <a:avLst/>
                          <a:gdLst/>
                          <a:ahLst/>
                          <a:cxnLst/>
                          <a:rect l="l" t="t" r="r" b="b"/>
                          <a:pathLst>
                            <a:path w="4966335" h="0">
                              <a:moveTo>
                                <a:pt x="0" y="0"/>
                              </a:moveTo>
                              <a:lnTo>
                                <a:pt x="496633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108.349998pt,15.46532pt" to="499.399998pt,15.46532pt" stroked="true" strokeweight=".48pt" strokecolor="#000000">
                <v:stroke dashstyle="solid"/>
                <w10:wrap type="none"/>
              </v:line>
            </w:pict>
          </mc:Fallback>
        </mc:AlternateContent>
      </w:r>
      <w:r>
        <w:rPr>
          <w:b/>
          <w:sz w:val="24"/>
        </w:rPr>
        <w:t>Jumlah</w:t>
      </w:r>
      <w:r>
        <w:rPr>
          <w:b/>
          <w:spacing w:val="-11"/>
          <w:sz w:val="24"/>
        </w:rPr>
        <w:t> </w:t>
      </w:r>
      <w:r>
        <w:rPr>
          <w:b/>
          <w:spacing w:val="-2"/>
          <w:sz w:val="24"/>
        </w:rPr>
        <w:t>Observasi</w:t>
      </w:r>
      <w:r>
        <w:rPr>
          <w:sz w:val="24"/>
        </w:rPr>
        <w:tab/>
      </w:r>
      <w:r>
        <w:rPr>
          <w:b/>
          <w:spacing w:val="-10"/>
          <w:sz w:val="24"/>
        </w:rPr>
        <w:t>5</w:t>
      </w:r>
    </w:p>
    <w:p>
      <w:pPr>
        <w:spacing w:before="257"/>
        <w:ind w:left="568" w:right="0" w:firstLine="0"/>
        <w:jc w:val="left"/>
        <w:rPr>
          <w:b/>
          <w:sz w:val="24"/>
        </w:rPr>
      </w:pPr>
      <w:bookmarkStart w:name="Statistik Deskriptif" w:id="35"/>
      <w:bookmarkEnd w:id="35"/>
      <w:r>
        <w:rPr/>
      </w:r>
      <w:r>
        <w:rPr>
          <w:b/>
          <w:sz w:val="24"/>
        </w:rPr>
        <w:t>Statistik</w:t>
      </w:r>
      <w:r>
        <w:rPr>
          <w:b/>
          <w:spacing w:val="-10"/>
          <w:sz w:val="24"/>
        </w:rPr>
        <w:t> </w:t>
      </w:r>
      <w:r>
        <w:rPr>
          <w:b/>
          <w:spacing w:val="-2"/>
          <w:sz w:val="24"/>
        </w:rPr>
        <w:t>Deskriptif</w:t>
      </w:r>
    </w:p>
    <w:p>
      <w:pPr>
        <w:spacing w:after="0"/>
        <w:jc w:val="left"/>
        <w:rPr>
          <w:b/>
          <w:sz w:val="24"/>
        </w:rPr>
        <w:sectPr>
          <w:type w:val="continuous"/>
          <w:pgSz w:w="11910" w:h="16840"/>
          <w:pgMar w:header="795" w:footer="0" w:top="1080" w:bottom="280" w:left="1700" w:right="1559"/>
        </w:sectPr>
      </w:pPr>
    </w:p>
    <w:p>
      <w:pPr>
        <w:pStyle w:val="BodyText"/>
        <w:rPr>
          <w:b/>
        </w:rPr>
      </w:pPr>
    </w:p>
    <w:p>
      <w:pPr>
        <w:pStyle w:val="BodyText"/>
        <w:rPr>
          <w:b/>
        </w:rPr>
      </w:pPr>
    </w:p>
    <w:p>
      <w:pPr>
        <w:pStyle w:val="BodyText"/>
        <w:rPr>
          <w:b/>
        </w:rPr>
      </w:pPr>
    </w:p>
    <w:p>
      <w:pPr>
        <w:pStyle w:val="BodyText"/>
        <w:spacing w:before="50"/>
        <w:rPr>
          <w:b/>
        </w:rPr>
      </w:pPr>
    </w:p>
    <w:p>
      <w:pPr>
        <w:spacing w:before="0" w:after="11"/>
        <w:ind w:left="427" w:right="0" w:firstLine="0"/>
        <w:jc w:val="center"/>
        <w:rPr>
          <w:b/>
          <w:sz w:val="24"/>
        </w:rPr>
      </w:pPr>
      <w:r>
        <w:rPr>
          <w:b/>
          <w:sz w:val="24"/>
        </w:rPr>
        <w:t>Tabel</w:t>
      </w:r>
      <w:r>
        <w:rPr>
          <w:b/>
          <w:spacing w:val="-12"/>
          <w:sz w:val="24"/>
        </w:rPr>
        <w:t> </w:t>
      </w:r>
      <w:r>
        <w:rPr>
          <w:b/>
          <w:sz w:val="24"/>
        </w:rPr>
        <w:t>2.</w:t>
      </w:r>
      <w:r>
        <w:rPr>
          <w:b/>
          <w:spacing w:val="-9"/>
          <w:sz w:val="24"/>
        </w:rPr>
        <w:t> </w:t>
      </w:r>
      <w:r>
        <w:rPr>
          <w:b/>
          <w:sz w:val="24"/>
        </w:rPr>
        <w:t>Uji</w:t>
      </w:r>
      <w:r>
        <w:rPr>
          <w:b/>
          <w:spacing w:val="-9"/>
          <w:sz w:val="24"/>
        </w:rPr>
        <w:t> </w:t>
      </w:r>
      <w:r>
        <w:rPr>
          <w:b/>
          <w:sz w:val="24"/>
        </w:rPr>
        <w:t>Statistik</w:t>
      </w:r>
      <w:r>
        <w:rPr>
          <w:b/>
          <w:spacing w:val="-5"/>
          <w:sz w:val="24"/>
        </w:rPr>
        <w:t> </w:t>
      </w:r>
      <w:r>
        <w:rPr>
          <w:b/>
          <w:spacing w:val="-2"/>
          <w:sz w:val="24"/>
        </w:rPr>
        <w:t>Deskriptif</w:t>
      </w:r>
    </w:p>
    <w:tbl>
      <w:tblPr>
        <w:tblW w:w="0" w:type="auto"/>
        <w:jc w:val="left"/>
        <w:tblInd w:w="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9"/>
        <w:gridCol w:w="505"/>
        <w:gridCol w:w="1601"/>
        <w:gridCol w:w="1500"/>
        <w:gridCol w:w="1474"/>
        <w:gridCol w:w="1371"/>
      </w:tblGrid>
      <w:tr>
        <w:trPr>
          <w:trHeight w:val="537" w:hRule="atLeast"/>
        </w:trPr>
        <w:tc>
          <w:tcPr>
            <w:tcW w:w="1689" w:type="dxa"/>
            <w:tcBorders>
              <w:top w:val="single" w:sz="4" w:space="0" w:color="000000"/>
            </w:tcBorders>
          </w:tcPr>
          <w:p>
            <w:pPr>
              <w:pStyle w:val="TableParagraph"/>
              <w:rPr>
                <w:sz w:val="22"/>
              </w:rPr>
            </w:pPr>
          </w:p>
        </w:tc>
        <w:tc>
          <w:tcPr>
            <w:tcW w:w="505" w:type="dxa"/>
            <w:tcBorders>
              <w:top w:val="single" w:sz="4" w:space="0" w:color="000000"/>
            </w:tcBorders>
          </w:tcPr>
          <w:p>
            <w:pPr>
              <w:pStyle w:val="TableParagraph"/>
              <w:spacing w:line="275" w:lineRule="exact"/>
              <w:ind w:right="16"/>
              <w:jc w:val="center"/>
              <w:rPr>
                <w:b/>
                <w:sz w:val="24"/>
              </w:rPr>
            </w:pPr>
            <w:r>
              <w:rPr>
                <w:b/>
                <w:spacing w:val="-10"/>
                <w:sz w:val="24"/>
              </w:rPr>
              <w:t>N</w:t>
            </w:r>
          </w:p>
        </w:tc>
        <w:tc>
          <w:tcPr>
            <w:tcW w:w="1601" w:type="dxa"/>
            <w:tcBorders>
              <w:top w:val="single" w:sz="4" w:space="0" w:color="000000"/>
            </w:tcBorders>
          </w:tcPr>
          <w:p>
            <w:pPr>
              <w:pStyle w:val="TableParagraph"/>
              <w:spacing w:line="275" w:lineRule="exact"/>
              <w:ind w:left="4" w:right="3"/>
              <w:jc w:val="center"/>
              <w:rPr>
                <w:b/>
                <w:i/>
                <w:sz w:val="24"/>
              </w:rPr>
            </w:pPr>
            <w:r>
              <w:rPr>
                <w:b/>
                <w:i/>
                <w:spacing w:val="-2"/>
                <w:sz w:val="24"/>
              </w:rPr>
              <w:t>Minimum</w:t>
            </w:r>
          </w:p>
        </w:tc>
        <w:tc>
          <w:tcPr>
            <w:tcW w:w="1500" w:type="dxa"/>
            <w:tcBorders>
              <w:top w:val="single" w:sz="4" w:space="0" w:color="000000"/>
            </w:tcBorders>
          </w:tcPr>
          <w:p>
            <w:pPr>
              <w:pStyle w:val="TableParagraph"/>
              <w:spacing w:line="275" w:lineRule="exact"/>
              <w:ind w:left="193"/>
              <w:rPr>
                <w:b/>
                <w:i/>
                <w:sz w:val="24"/>
              </w:rPr>
            </w:pPr>
            <w:r>
              <w:rPr>
                <w:b/>
                <w:i/>
                <w:spacing w:val="-2"/>
                <w:sz w:val="24"/>
              </w:rPr>
              <w:t>Maximum</w:t>
            </w:r>
          </w:p>
        </w:tc>
        <w:tc>
          <w:tcPr>
            <w:tcW w:w="1474" w:type="dxa"/>
            <w:tcBorders>
              <w:top w:val="single" w:sz="4" w:space="0" w:color="000000"/>
            </w:tcBorders>
          </w:tcPr>
          <w:p>
            <w:pPr>
              <w:pStyle w:val="TableParagraph"/>
              <w:spacing w:line="275" w:lineRule="exact"/>
              <w:ind w:left="290"/>
              <w:rPr>
                <w:b/>
                <w:i/>
                <w:sz w:val="24"/>
              </w:rPr>
            </w:pPr>
            <w:r>
              <w:rPr>
                <w:b/>
                <w:i/>
                <w:spacing w:val="-4"/>
                <w:sz w:val="24"/>
              </w:rPr>
              <w:t>Mean</w:t>
            </w:r>
          </w:p>
        </w:tc>
        <w:tc>
          <w:tcPr>
            <w:tcW w:w="1371" w:type="dxa"/>
            <w:tcBorders>
              <w:top w:val="single" w:sz="4" w:space="0" w:color="000000"/>
            </w:tcBorders>
          </w:tcPr>
          <w:p>
            <w:pPr>
              <w:pStyle w:val="TableParagraph"/>
              <w:spacing w:line="265" w:lineRule="exact"/>
              <w:ind w:left="19" w:right="206"/>
              <w:jc w:val="center"/>
              <w:rPr>
                <w:b/>
                <w:i/>
                <w:sz w:val="24"/>
              </w:rPr>
            </w:pPr>
            <w:r>
              <w:rPr>
                <w:b/>
                <w:i/>
                <w:spacing w:val="-4"/>
                <w:sz w:val="24"/>
              </w:rPr>
              <w:t>Std.</w:t>
            </w:r>
          </w:p>
          <w:p>
            <w:pPr>
              <w:pStyle w:val="TableParagraph"/>
              <w:spacing w:line="253" w:lineRule="exact"/>
              <w:ind w:left="19" w:right="214"/>
              <w:jc w:val="center"/>
              <w:rPr>
                <w:b/>
                <w:i/>
                <w:sz w:val="24"/>
              </w:rPr>
            </w:pPr>
            <w:r>
              <w:rPr>
                <w:b/>
                <w:i/>
                <w:spacing w:val="-2"/>
                <w:sz w:val="24"/>
              </w:rPr>
              <w:t>Deviation</w:t>
            </w:r>
          </w:p>
        </w:tc>
      </w:tr>
      <w:tr>
        <w:trPr>
          <w:trHeight w:val="286" w:hRule="atLeast"/>
        </w:trPr>
        <w:tc>
          <w:tcPr>
            <w:tcW w:w="1689" w:type="dxa"/>
            <w:tcBorders>
              <w:bottom w:val="single" w:sz="4" w:space="0" w:color="7C7C7C"/>
            </w:tcBorders>
          </w:tcPr>
          <w:p>
            <w:pPr>
              <w:pStyle w:val="TableParagraph"/>
              <w:spacing w:line="269" w:lineRule="exact"/>
              <w:ind w:left="108"/>
              <w:rPr>
                <w:sz w:val="24"/>
              </w:rPr>
            </w:pPr>
            <w:r>
              <w:rPr>
                <w:spacing w:val="-5"/>
                <w:sz w:val="24"/>
              </w:rPr>
              <w:t>ROA</w:t>
            </w:r>
          </w:p>
        </w:tc>
        <w:tc>
          <w:tcPr>
            <w:tcW w:w="505" w:type="dxa"/>
            <w:tcBorders>
              <w:bottom w:val="single" w:sz="4" w:space="0" w:color="7C7C7C"/>
            </w:tcBorders>
          </w:tcPr>
          <w:p>
            <w:pPr>
              <w:pStyle w:val="TableParagraph"/>
              <w:spacing w:line="269" w:lineRule="exact"/>
              <w:ind w:left="7" w:right="16"/>
              <w:jc w:val="center"/>
              <w:rPr>
                <w:sz w:val="24"/>
              </w:rPr>
            </w:pPr>
            <w:r>
              <w:rPr>
                <w:spacing w:val="-5"/>
                <w:sz w:val="24"/>
              </w:rPr>
              <w:t>80</w:t>
            </w:r>
          </w:p>
        </w:tc>
        <w:tc>
          <w:tcPr>
            <w:tcW w:w="1601" w:type="dxa"/>
            <w:tcBorders>
              <w:bottom w:val="single" w:sz="4" w:space="0" w:color="7C7C7C"/>
            </w:tcBorders>
          </w:tcPr>
          <w:p>
            <w:pPr>
              <w:pStyle w:val="TableParagraph"/>
              <w:spacing w:line="269" w:lineRule="exact"/>
              <w:ind w:left="1" w:right="4"/>
              <w:jc w:val="center"/>
              <w:rPr>
                <w:sz w:val="24"/>
              </w:rPr>
            </w:pPr>
            <w:r>
              <w:rPr>
                <w:spacing w:val="-2"/>
                <w:sz w:val="24"/>
              </w:rPr>
              <w:t>-,276075</w:t>
            </w:r>
          </w:p>
        </w:tc>
        <w:tc>
          <w:tcPr>
            <w:tcW w:w="1500" w:type="dxa"/>
            <w:tcBorders>
              <w:bottom w:val="single" w:sz="4" w:space="0" w:color="7C7C7C"/>
            </w:tcBorders>
          </w:tcPr>
          <w:p>
            <w:pPr>
              <w:pStyle w:val="TableParagraph"/>
              <w:spacing w:line="269" w:lineRule="exact"/>
              <w:ind w:left="381"/>
              <w:rPr>
                <w:sz w:val="24"/>
              </w:rPr>
            </w:pPr>
            <w:r>
              <w:rPr>
                <w:spacing w:val="-2"/>
                <w:sz w:val="24"/>
              </w:rPr>
              <w:t>,120735</w:t>
            </w:r>
          </w:p>
        </w:tc>
        <w:tc>
          <w:tcPr>
            <w:tcW w:w="1474" w:type="dxa"/>
            <w:tcBorders>
              <w:bottom w:val="single" w:sz="4" w:space="0" w:color="7C7C7C"/>
            </w:tcBorders>
          </w:tcPr>
          <w:p>
            <w:pPr>
              <w:pStyle w:val="TableParagraph"/>
              <w:spacing w:line="269" w:lineRule="exact"/>
              <w:ind w:left="237"/>
              <w:rPr>
                <w:sz w:val="24"/>
              </w:rPr>
            </w:pPr>
            <w:r>
              <w:rPr>
                <w:spacing w:val="-2"/>
                <w:sz w:val="24"/>
              </w:rPr>
              <w:t>,02004012</w:t>
            </w:r>
          </w:p>
        </w:tc>
        <w:tc>
          <w:tcPr>
            <w:tcW w:w="1371" w:type="dxa"/>
            <w:tcBorders>
              <w:bottom w:val="single" w:sz="4" w:space="0" w:color="7C7C7C"/>
            </w:tcBorders>
          </w:tcPr>
          <w:p>
            <w:pPr>
              <w:pStyle w:val="TableParagraph"/>
              <w:spacing w:line="269" w:lineRule="exact"/>
              <w:ind w:left="19" w:right="10"/>
              <w:jc w:val="center"/>
              <w:rPr>
                <w:sz w:val="24"/>
              </w:rPr>
            </w:pPr>
            <w:r>
              <w:rPr>
                <w:spacing w:val="-2"/>
                <w:sz w:val="24"/>
              </w:rPr>
              <w:t>,065072384</w:t>
            </w:r>
          </w:p>
        </w:tc>
      </w:tr>
      <w:tr>
        <w:trPr>
          <w:trHeight w:val="264" w:hRule="atLeast"/>
        </w:trPr>
        <w:tc>
          <w:tcPr>
            <w:tcW w:w="1689" w:type="dxa"/>
            <w:tcBorders>
              <w:top w:val="single" w:sz="4" w:space="0" w:color="7C7C7C"/>
            </w:tcBorders>
          </w:tcPr>
          <w:p>
            <w:pPr>
              <w:pStyle w:val="TableParagraph"/>
              <w:spacing w:line="242" w:lineRule="exact"/>
              <w:ind w:left="108"/>
              <w:rPr>
                <w:sz w:val="24"/>
              </w:rPr>
            </w:pPr>
            <w:r>
              <w:rPr>
                <w:spacing w:val="-5"/>
                <w:sz w:val="24"/>
              </w:rPr>
              <w:t>CR</w:t>
            </w:r>
          </w:p>
        </w:tc>
        <w:tc>
          <w:tcPr>
            <w:tcW w:w="505" w:type="dxa"/>
            <w:tcBorders>
              <w:top w:val="single" w:sz="4" w:space="0" w:color="7C7C7C"/>
            </w:tcBorders>
          </w:tcPr>
          <w:p>
            <w:pPr>
              <w:pStyle w:val="TableParagraph"/>
              <w:spacing w:line="242" w:lineRule="exact"/>
              <w:ind w:left="7" w:right="16"/>
              <w:jc w:val="center"/>
              <w:rPr>
                <w:sz w:val="24"/>
              </w:rPr>
            </w:pPr>
            <w:r>
              <w:rPr>
                <w:spacing w:val="-5"/>
                <w:sz w:val="24"/>
              </w:rPr>
              <w:t>80</w:t>
            </w:r>
          </w:p>
        </w:tc>
        <w:tc>
          <w:tcPr>
            <w:tcW w:w="1601" w:type="dxa"/>
            <w:tcBorders>
              <w:top w:val="single" w:sz="4" w:space="0" w:color="7C7C7C"/>
            </w:tcBorders>
          </w:tcPr>
          <w:p>
            <w:pPr>
              <w:pStyle w:val="TableParagraph"/>
              <w:spacing w:line="242" w:lineRule="exact"/>
              <w:ind w:left="2" w:right="3"/>
              <w:jc w:val="center"/>
              <w:rPr>
                <w:sz w:val="24"/>
              </w:rPr>
            </w:pPr>
            <w:r>
              <w:rPr>
                <w:spacing w:val="-2"/>
                <w:sz w:val="24"/>
              </w:rPr>
              <w:t>,027167</w:t>
            </w:r>
          </w:p>
        </w:tc>
        <w:tc>
          <w:tcPr>
            <w:tcW w:w="1500" w:type="dxa"/>
            <w:tcBorders>
              <w:top w:val="single" w:sz="4" w:space="0" w:color="7C7C7C"/>
            </w:tcBorders>
          </w:tcPr>
          <w:p>
            <w:pPr>
              <w:pStyle w:val="TableParagraph"/>
              <w:spacing w:line="242" w:lineRule="exact"/>
              <w:ind w:left="261"/>
              <w:rPr>
                <w:sz w:val="24"/>
              </w:rPr>
            </w:pPr>
            <w:r>
              <w:rPr>
                <w:spacing w:val="-2"/>
                <w:sz w:val="24"/>
              </w:rPr>
              <w:t>25,397087</w:t>
            </w:r>
          </w:p>
        </w:tc>
        <w:tc>
          <w:tcPr>
            <w:tcW w:w="1474" w:type="dxa"/>
            <w:tcBorders>
              <w:top w:val="single" w:sz="4" w:space="0" w:color="7C7C7C"/>
            </w:tcBorders>
          </w:tcPr>
          <w:p>
            <w:pPr>
              <w:pStyle w:val="TableParagraph"/>
              <w:spacing w:line="242" w:lineRule="exact"/>
              <w:ind w:left="177"/>
              <w:rPr>
                <w:sz w:val="24"/>
              </w:rPr>
            </w:pPr>
            <w:r>
              <w:rPr>
                <w:spacing w:val="-2"/>
                <w:sz w:val="24"/>
              </w:rPr>
              <w:t>1,60689456</w:t>
            </w:r>
          </w:p>
        </w:tc>
        <w:tc>
          <w:tcPr>
            <w:tcW w:w="1371" w:type="dxa"/>
            <w:tcBorders>
              <w:top w:val="single" w:sz="4" w:space="0" w:color="7C7C7C"/>
            </w:tcBorders>
          </w:tcPr>
          <w:p>
            <w:pPr>
              <w:pStyle w:val="TableParagraph"/>
              <w:spacing w:line="242" w:lineRule="exact"/>
              <w:ind w:left="19" w:right="10"/>
              <w:jc w:val="center"/>
              <w:rPr>
                <w:sz w:val="24"/>
              </w:rPr>
            </w:pPr>
            <w:r>
              <w:rPr>
                <w:spacing w:val="-2"/>
                <w:sz w:val="24"/>
              </w:rPr>
              <w:t>3,87873762</w:t>
            </w:r>
          </w:p>
        </w:tc>
      </w:tr>
      <w:tr>
        <w:trPr>
          <w:trHeight w:val="286" w:hRule="atLeast"/>
        </w:trPr>
        <w:tc>
          <w:tcPr>
            <w:tcW w:w="1689" w:type="dxa"/>
            <w:tcBorders>
              <w:bottom w:val="single" w:sz="4" w:space="0" w:color="7C7C7C"/>
            </w:tcBorders>
          </w:tcPr>
          <w:p>
            <w:pPr>
              <w:pStyle w:val="TableParagraph"/>
              <w:rPr>
                <w:sz w:val="20"/>
              </w:rPr>
            </w:pPr>
          </w:p>
        </w:tc>
        <w:tc>
          <w:tcPr>
            <w:tcW w:w="505" w:type="dxa"/>
            <w:tcBorders>
              <w:bottom w:val="single" w:sz="4" w:space="0" w:color="7C7C7C"/>
            </w:tcBorders>
          </w:tcPr>
          <w:p>
            <w:pPr>
              <w:pStyle w:val="TableParagraph"/>
              <w:rPr>
                <w:sz w:val="20"/>
              </w:rPr>
            </w:pPr>
          </w:p>
        </w:tc>
        <w:tc>
          <w:tcPr>
            <w:tcW w:w="1601" w:type="dxa"/>
            <w:tcBorders>
              <w:bottom w:val="single" w:sz="4" w:space="0" w:color="7C7C7C"/>
            </w:tcBorders>
          </w:tcPr>
          <w:p>
            <w:pPr>
              <w:pStyle w:val="TableParagraph"/>
              <w:rPr>
                <w:sz w:val="20"/>
              </w:rPr>
            </w:pPr>
          </w:p>
        </w:tc>
        <w:tc>
          <w:tcPr>
            <w:tcW w:w="1500" w:type="dxa"/>
            <w:tcBorders>
              <w:bottom w:val="single" w:sz="4" w:space="0" w:color="7C7C7C"/>
            </w:tcBorders>
          </w:tcPr>
          <w:p>
            <w:pPr>
              <w:pStyle w:val="TableParagraph"/>
              <w:rPr>
                <w:sz w:val="20"/>
              </w:rPr>
            </w:pPr>
          </w:p>
        </w:tc>
        <w:tc>
          <w:tcPr>
            <w:tcW w:w="1474" w:type="dxa"/>
            <w:tcBorders>
              <w:bottom w:val="single" w:sz="4" w:space="0" w:color="7C7C7C"/>
            </w:tcBorders>
          </w:tcPr>
          <w:p>
            <w:pPr>
              <w:pStyle w:val="TableParagraph"/>
              <w:rPr>
                <w:sz w:val="20"/>
              </w:rPr>
            </w:pPr>
          </w:p>
        </w:tc>
        <w:tc>
          <w:tcPr>
            <w:tcW w:w="1371" w:type="dxa"/>
            <w:tcBorders>
              <w:bottom w:val="single" w:sz="4" w:space="0" w:color="7C7C7C"/>
            </w:tcBorders>
          </w:tcPr>
          <w:p>
            <w:pPr>
              <w:pStyle w:val="TableParagraph"/>
              <w:spacing w:line="269" w:lineRule="exact"/>
              <w:ind w:left="19"/>
              <w:jc w:val="center"/>
              <w:rPr>
                <w:sz w:val="24"/>
              </w:rPr>
            </w:pPr>
            <w:r>
              <w:rPr>
                <w:spacing w:val="-10"/>
                <w:sz w:val="24"/>
              </w:rPr>
              <w:t>7</w:t>
            </w:r>
          </w:p>
        </w:tc>
      </w:tr>
      <w:tr>
        <w:trPr>
          <w:trHeight w:val="264" w:hRule="atLeast"/>
        </w:trPr>
        <w:tc>
          <w:tcPr>
            <w:tcW w:w="1689" w:type="dxa"/>
            <w:tcBorders>
              <w:top w:val="single" w:sz="4" w:space="0" w:color="7C7C7C"/>
            </w:tcBorders>
          </w:tcPr>
          <w:p>
            <w:pPr>
              <w:pStyle w:val="TableParagraph"/>
              <w:spacing w:line="243" w:lineRule="exact"/>
              <w:ind w:left="108"/>
              <w:rPr>
                <w:sz w:val="24"/>
              </w:rPr>
            </w:pPr>
            <w:r>
              <w:rPr>
                <w:spacing w:val="-5"/>
                <w:sz w:val="24"/>
              </w:rPr>
              <w:t>DER</w:t>
            </w:r>
          </w:p>
        </w:tc>
        <w:tc>
          <w:tcPr>
            <w:tcW w:w="505" w:type="dxa"/>
            <w:tcBorders>
              <w:top w:val="single" w:sz="4" w:space="0" w:color="7C7C7C"/>
            </w:tcBorders>
          </w:tcPr>
          <w:p>
            <w:pPr>
              <w:pStyle w:val="TableParagraph"/>
              <w:spacing w:line="243" w:lineRule="exact"/>
              <w:ind w:left="7" w:right="16"/>
              <w:jc w:val="center"/>
              <w:rPr>
                <w:sz w:val="24"/>
              </w:rPr>
            </w:pPr>
            <w:r>
              <w:rPr>
                <w:spacing w:val="-5"/>
                <w:sz w:val="24"/>
              </w:rPr>
              <w:t>80</w:t>
            </w:r>
          </w:p>
        </w:tc>
        <w:tc>
          <w:tcPr>
            <w:tcW w:w="1601" w:type="dxa"/>
            <w:tcBorders>
              <w:top w:val="single" w:sz="4" w:space="0" w:color="7C7C7C"/>
            </w:tcBorders>
          </w:tcPr>
          <w:p>
            <w:pPr>
              <w:pStyle w:val="TableParagraph"/>
              <w:spacing w:line="243" w:lineRule="exact"/>
              <w:ind w:left="1" w:right="4"/>
              <w:jc w:val="center"/>
              <w:rPr>
                <w:sz w:val="24"/>
              </w:rPr>
            </w:pPr>
            <w:r>
              <w:rPr>
                <w:spacing w:val="-2"/>
                <w:sz w:val="24"/>
              </w:rPr>
              <w:t>-34,930002</w:t>
            </w:r>
          </w:p>
        </w:tc>
        <w:tc>
          <w:tcPr>
            <w:tcW w:w="1500" w:type="dxa"/>
            <w:tcBorders>
              <w:top w:val="single" w:sz="4" w:space="0" w:color="7C7C7C"/>
            </w:tcBorders>
          </w:tcPr>
          <w:p>
            <w:pPr>
              <w:pStyle w:val="TableParagraph"/>
              <w:spacing w:line="243" w:lineRule="exact"/>
              <w:ind w:right="173"/>
              <w:jc w:val="right"/>
              <w:rPr>
                <w:sz w:val="24"/>
              </w:rPr>
            </w:pPr>
            <w:r>
              <w:rPr>
                <w:spacing w:val="-2"/>
                <w:sz w:val="24"/>
              </w:rPr>
              <w:t>149,869374</w:t>
            </w:r>
          </w:p>
        </w:tc>
        <w:tc>
          <w:tcPr>
            <w:tcW w:w="1474" w:type="dxa"/>
            <w:tcBorders>
              <w:top w:val="single" w:sz="4" w:space="0" w:color="7C7C7C"/>
            </w:tcBorders>
          </w:tcPr>
          <w:p>
            <w:pPr>
              <w:pStyle w:val="TableParagraph"/>
              <w:spacing w:line="243" w:lineRule="exact"/>
              <w:ind w:left="177"/>
              <w:rPr>
                <w:sz w:val="24"/>
              </w:rPr>
            </w:pPr>
            <w:r>
              <w:rPr>
                <w:spacing w:val="-2"/>
                <w:sz w:val="24"/>
              </w:rPr>
              <w:t>2,77278461</w:t>
            </w:r>
          </w:p>
        </w:tc>
        <w:tc>
          <w:tcPr>
            <w:tcW w:w="1371" w:type="dxa"/>
            <w:tcBorders>
              <w:top w:val="single" w:sz="4" w:space="0" w:color="7C7C7C"/>
            </w:tcBorders>
          </w:tcPr>
          <w:p>
            <w:pPr>
              <w:pStyle w:val="TableParagraph"/>
              <w:spacing w:line="243" w:lineRule="exact"/>
              <w:ind w:left="19" w:right="10"/>
              <w:jc w:val="center"/>
              <w:rPr>
                <w:sz w:val="24"/>
              </w:rPr>
            </w:pPr>
            <w:r>
              <w:rPr>
                <w:spacing w:val="-2"/>
                <w:sz w:val="24"/>
              </w:rPr>
              <w:t>17,3251586</w:t>
            </w:r>
          </w:p>
        </w:tc>
      </w:tr>
      <w:tr>
        <w:trPr>
          <w:trHeight w:val="288" w:hRule="atLeast"/>
        </w:trPr>
        <w:tc>
          <w:tcPr>
            <w:tcW w:w="1689" w:type="dxa"/>
            <w:tcBorders>
              <w:bottom w:val="single" w:sz="4" w:space="0" w:color="7C7C7C"/>
            </w:tcBorders>
          </w:tcPr>
          <w:p>
            <w:pPr>
              <w:pStyle w:val="TableParagraph"/>
              <w:rPr>
                <w:sz w:val="20"/>
              </w:rPr>
            </w:pPr>
          </w:p>
        </w:tc>
        <w:tc>
          <w:tcPr>
            <w:tcW w:w="505" w:type="dxa"/>
            <w:tcBorders>
              <w:bottom w:val="single" w:sz="4" w:space="0" w:color="7C7C7C"/>
            </w:tcBorders>
          </w:tcPr>
          <w:p>
            <w:pPr>
              <w:pStyle w:val="TableParagraph"/>
              <w:rPr>
                <w:sz w:val="20"/>
              </w:rPr>
            </w:pPr>
          </w:p>
        </w:tc>
        <w:tc>
          <w:tcPr>
            <w:tcW w:w="1601" w:type="dxa"/>
            <w:tcBorders>
              <w:bottom w:val="single" w:sz="4" w:space="0" w:color="7C7C7C"/>
            </w:tcBorders>
          </w:tcPr>
          <w:p>
            <w:pPr>
              <w:pStyle w:val="TableParagraph"/>
              <w:rPr>
                <w:sz w:val="20"/>
              </w:rPr>
            </w:pPr>
          </w:p>
        </w:tc>
        <w:tc>
          <w:tcPr>
            <w:tcW w:w="1500" w:type="dxa"/>
            <w:tcBorders>
              <w:bottom w:val="single" w:sz="4" w:space="0" w:color="7C7C7C"/>
            </w:tcBorders>
          </w:tcPr>
          <w:p>
            <w:pPr>
              <w:pStyle w:val="TableParagraph"/>
              <w:rPr>
                <w:sz w:val="20"/>
              </w:rPr>
            </w:pPr>
          </w:p>
        </w:tc>
        <w:tc>
          <w:tcPr>
            <w:tcW w:w="1474" w:type="dxa"/>
            <w:tcBorders>
              <w:bottom w:val="single" w:sz="4" w:space="0" w:color="7C7C7C"/>
            </w:tcBorders>
          </w:tcPr>
          <w:p>
            <w:pPr>
              <w:pStyle w:val="TableParagraph"/>
              <w:rPr>
                <w:sz w:val="20"/>
              </w:rPr>
            </w:pPr>
          </w:p>
        </w:tc>
        <w:tc>
          <w:tcPr>
            <w:tcW w:w="1371" w:type="dxa"/>
            <w:tcBorders>
              <w:bottom w:val="single" w:sz="4" w:space="0" w:color="7C7C7C"/>
            </w:tcBorders>
          </w:tcPr>
          <w:p>
            <w:pPr>
              <w:pStyle w:val="TableParagraph"/>
              <w:spacing w:line="268" w:lineRule="exact"/>
              <w:ind w:left="19"/>
              <w:jc w:val="center"/>
              <w:rPr>
                <w:sz w:val="24"/>
              </w:rPr>
            </w:pPr>
            <w:r>
              <w:rPr>
                <w:spacing w:val="-10"/>
                <w:sz w:val="24"/>
              </w:rPr>
              <w:t>0</w:t>
            </w:r>
          </w:p>
        </w:tc>
      </w:tr>
      <w:tr>
        <w:trPr>
          <w:trHeight w:val="550" w:hRule="atLeast"/>
        </w:trPr>
        <w:tc>
          <w:tcPr>
            <w:tcW w:w="1689" w:type="dxa"/>
            <w:tcBorders>
              <w:top w:val="single" w:sz="4" w:space="0" w:color="7C7C7C"/>
              <w:bottom w:val="single" w:sz="4" w:space="0" w:color="7C7C7C"/>
            </w:tcBorders>
          </w:tcPr>
          <w:p>
            <w:pPr>
              <w:pStyle w:val="TableParagraph"/>
              <w:spacing w:line="272" w:lineRule="exact"/>
              <w:ind w:left="108"/>
              <w:rPr>
                <w:sz w:val="24"/>
              </w:rPr>
            </w:pPr>
            <w:r>
              <w:rPr>
                <w:spacing w:val="-2"/>
                <w:sz w:val="24"/>
              </w:rPr>
              <w:t>PERTUMBUH</w:t>
            </w:r>
          </w:p>
          <w:p>
            <w:pPr>
              <w:pStyle w:val="TableParagraph"/>
              <w:spacing w:line="260" w:lineRule="exact"/>
              <w:ind w:left="108"/>
              <w:rPr>
                <w:sz w:val="24"/>
              </w:rPr>
            </w:pPr>
            <w:r>
              <w:rPr>
                <w:sz w:val="24"/>
              </w:rPr>
              <w:t>AN</w:t>
            </w:r>
            <w:r>
              <w:rPr>
                <w:spacing w:val="-9"/>
                <w:sz w:val="24"/>
              </w:rPr>
              <w:t> </w:t>
            </w:r>
            <w:r>
              <w:rPr>
                <w:spacing w:val="-4"/>
                <w:sz w:val="24"/>
              </w:rPr>
              <w:t>ASET</w:t>
            </w:r>
          </w:p>
        </w:tc>
        <w:tc>
          <w:tcPr>
            <w:tcW w:w="505" w:type="dxa"/>
            <w:tcBorders>
              <w:top w:val="single" w:sz="4" w:space="0" w:color="7C7C7C"/>
              <w:bottom w:val="single" w:sz="4" w:space="0" w:color="7C7C7C"/>
            </w:tcBorders>
          </w:tcPr>
          <w:p>
            <w:pPr>
              <w:pStyle w:val="TableParagraph"/>
              <w:spacing w:line="272" w:lineRule="exact"/>
              <w:ind w:left="7" w:right="16"/>
              <w:jc w:val="center"/>
              <w:rPr>
                <w:sz w:val="24"/>
              </w:rPr>
            </w:pPr>
            <w:r>
              <w:rPr>
                <w:spacing w:val="-5"/>
                <w:sz w:val="24"/>
              </w:rPr>
              <w:t>80</w:t>
            </w:r>
          </w:p>
        </w:tc>
        <w:tc>
          <w:tcPr>
            <w:tcW w:w="1601" w:type="dxa"/>
            <w:tcBorders>
              <w:top w:val="single" w:sz="4" w:space="0" w:color="7C7C7C"/>
              <w:bottom w:val="single" w:sz="4" w:space="0" w:color="7C7C7C"/>
            </w:tcBorders>
          </w:tcPr>
          <w:p>
            <w:pPr>
              <w:pStyle w:val="TableParagraph"/>
              <w:spacing w:line="272" w:lineRule="exact"/>
              <w:ind w:left="1" w:right="4"/>
              <w:jc w:val="center"/>
              <w:rPr>
                <w:sz w:val="24"/>
              </w:rPr>
            </w:pPr>
            <w:r>
              <w:rPr>
                <w:spacing w:val="-2"/>
                <w:sz w:val="24"/>
              </w:rPr>
              <w:t>-,722786</w:t>
            </w:r>
          </w:p>
        </w:tc>
        <w:tc>
          <w:tcPr>
            <w:tcW w:w="1500" w:type="dxa"/>
            <w:tcBorders>
              <w:top w:val="single" w:sz="4" w:space="0" w:color="7C7C7C"/>
              <w:bottom w:val="single" w:sz="4" w:space="0" w:color="7C7C7C"/>
            </w:tcBorders>
          </w:tcPr>
          <w:p>
            <w:pPr>
              <w:pStyle w:val="TableParagraph"/>
              <w:spacing w:line="272" w:lineRule="exact"/>
              <w:ind w:left="321"/>
              <w:rPr>
                <w:sz w:val="24"/>
              </w:rPr>
            </w:pPr>
            <w:r>
              <w:rPr>
                <w:spacing w:val="-2"/>
                <w:sz w:val="24"/>
              </w:rPr>
              <w:t>1,595089</w:t>
            </w:r>
          </w:p>
        </w:tc>
        <w:tc>
          <w:tcPr>
            <w:tcW w:w="1474" w:type="dxa"/>
            <w:tcBorders>
              <w:top w:val="single" w:sz="4" w:space="0" w:color="7C7C7C"/>
              <w:bottom w:val="single" w:sz="4" w:space="0" w:color="7C7C7C"/>
            </w:tcBorders>
          </w:tcPr>
          <w:p>
            <w:pPr>
              <w:pStyle w:val="TableParagraph"/>
              <w:spacing w:line="272" w:lineRule="exact"/>
              <w:ind w:left="237"/>
              <w:rPr>
                <w:sz w:val="24"/>
              </w:rPr>
            </w:pPr>
            <w:r>
              <w:rPr>
                <w:spacing w:val="-2"/>
                <w:sz w:val="24"/>
              </w:rPr>
              <w:t>,10326318</w:t>
            </w:r>
          </w:p>
        </w:tc>
        <w:tc>
          <w:tcPr>
            <w:tcW w:w="1371" w:type="dxa"/>
            <w:tcBorders>
              <w:top w:val="single" w:sz="4" w:space="0" w:color="7C7C7C"/>
              <w:bottom w:val="single" w:sz="4" w:space="0" w:color="7C7C7C"/>
            </w:tcBorders>
          </w:tcPr>
          <w:p>
            <w:pPr>
              <w:pStyle w:val="TableParagraph"/>
              <w:spacing w:line="272" w:lineRule="exact"/>
              <w:ind w:left="19" w:right="10"/>
              <w:jc w:val="center"/>
              <w:rPr>
                <w:sz w:val="24"/>
              </w:rPr>
            </w:pPr>
            <w:r>
              <w:rPr>
                <w:spacing w:val="-2"/>
                <w:sz w:val="24"/>
              </w:rPr>
              <w:t>,325939123</w:t>
            </w:r>
          </w:p>
        </w:tc>
      </w:tr>
      <w:tr>
        <w:trPr>
          <w:trHeight w:val="264" w:hRule="atLeast"/>
        </w:trPr>
        <w:tc>
          <w:tcPr>
            <w:tcW w:w="1689" w:type="dxa"/>
            <w:tcBorders>
              <w:top w:val="single" w:sz="4" w:space="0" w:color="7C7C7C"/>
            </w:tcBorders>
          </w:tcPr>
          <w:p>
            <w:pPr>
              <w:pStyle w:val="TableParagraph"/>
              <w:spacing w:line="243" w:lineRule="exact"/>
              <w:ind w:left="108"/>
              <w:rPr>
                <w:sz w:val="24"/>
              </w:rPr>
            </w:pPr>
            <w:r>
              <w:rPr>
                <w:spacing w:val="-5"/>
                <w:sz w:val="24"/>
              </w:rPr>
              <w:t>PBV</w:t>
            </w:r>
          </w:p>
        </w:tc>
        <w:tc>
          <w:tcPr>
            <w:tcW w:w="505" w:type="dxa"/>
            <w:tcBorders>
              <w:top w:val="single" w:sz="4" w:space="0" w:color="7C7C7C"/>
            </w:tcBorders>
          </w:tcPr>
          <w:p>
            <w:pPr>
              <w:pStyle w:val="TableParagraph"/>
              <w:spacing w:line="243" w:lineRule="exact"/>
              <w:ind w:left="7" w:right="16"/>
              <w:jc w:val="center"/>
              <w:rPr>
                <w:sz w:val="24"/>
              </w:rPr>
            </w:pPr>
            <w:r>
              <w:rPr>
                <w:spacing w:val="-5"/>
                <w:sz w:val="24"/>
              </w:rPr>
              <w:t>80</w:t>
            </w:r>
          </w:p>
        </w:tc>
        <w:tc>
          <w:tcPr>
            <w:tcW w:w="1601" w:type="dxa"/>
            <w:tcBorders>
              <w:top w:val="single" w:sz="4" w:space="0" w:color="7C7C7C"/>
            </w:tcBorders>
          </w:tcPr>
          <w:p>
            <w:pPr>
              <w:pStyle w:val="TableParagraph"/>
              <w:spacing w:line="243" w:lineRule="exact"/>
              <w:ind w:left="2" w:right="3"/>
              <w:jc w:val="center"/>
              <w:rPr>
                <w:sz w:val="24"/>
              </w:rPr>
            </w:pPr>
            <w:r>
              <w:rPr>
                <w:spacing w:val="-2"/>
                <w:sz w:val="24"/>
              </w:rPr>
              <w:t>-1901,871454</w:t>
            </w:r>
          </w:p>
        </w:tc>
        <w:tc>
          <w:tcPr>
            <w:tcW w:w="1500" w:type="dxa"/>
            <w:tcBorders>
              <w:top w:val="single" w:sz="4" w:space="0" w:color="7C7C7C"/>
            </w:tcBorders>
          </w:tcPr>
          <w:p>
            <w:pPr>
              <w:pStyle w:val="TableParagraph"/>
              <w:spacing w:line="243" w:lineRule="exact"/>
              <w:ind w:right="116"/>
              <w:jc w:val="right"/>
              <w:rPr>
                <w:sz w:val="24"/>
              </w:rPr>
            </w:pPr>
            <w:r>
              <w:rPr>
                <w:spacing w:val="-2"/>
                <w:sz w:val="24"/>
              </w:rPr>
              <w:t>32674,24674</w:t>
            </w:r>
          </w:p>
        </w:tc>
        <w:tc>
          <w:tcPr>
            <w:tcW w:w="1474" w:type="dxa"/>
            <w:tcBorders>
              <w:top w:val="single" w:sz="4" w:space="0" w:color="7C7C7C"/>
            </w:tcBorders>
          </w:tcPr>
          <w:p>
            <w:pPr>
              <w:pStyle w:val="TableParagraph"/>
              <w:spacing w:line="243" w:lineRule="exact"/>
              <w:ind w:left="117"/>
              <w:rPr>
                <w:sz w:val="24"/>
              </w:rPr>
            </w:pPr>
            <w:r>
              <w:rPr>
                <w:spacing w:val="-2"/>
                <w:sz w:val="24"/>
              </w:rPr>
              <w:t>1763,428500</w:t>
            </w:r>
          </w:p>
        </w:tc>
        <w:tc>
          <w:tcPr>
            <w:tcW w:w="1371" w:type="dxa"/>
            <w:tcBorders>
              <w:top w:val="single" w:sz="4" w:space="0" w:color="7C7C7C"/>
            </w:tcBorders>
          </w:tcPr>
          <w:p>
            <w:pPr>
              <w:pStyle w:val="TableParagraph"/>
              <w:spacing w:line="243" w:lineRule="exact"/>
              <w:ind w:left="19" w:right="10"/>
              <w:jc w:val="center"/>
              <w:rPr>
                <w:sz w:val="24"/>
              </w:rPr>
            </w:pPr>
            <w:r>
              <w:rPr>
                <w:spacing w:val="-2"/>
                <w:sz w:val="24"/>
              </w:rPr>
              <w:t>4033,83722</w:t>
            </w:r>
          </w:p>
        </w:tc>
      </w:tr>
      <w:tr>
        <w:trPr>
          <w:trHeight w:val="287" w:hRule="atLeast"/>
        </w:trPr>
        <w:tc>
          <w:tcPr>
            <w:tcW w:w="1689" w:type="dxa"/>
            <w:tcBorders>
              <w:bottom w:val="single" w:sz="4" w:space="0" w:color="7C7C7C"/>
            </w:tcBorders>
          </w:tcPr>
          <w:p>
            <w:pPr>
              <w:pStyle w:val="TableParagraph"/>
              <w:rPr>
                <w:sz w:val="20"/>
              </w:rPr>
            </w:pPr>
          </w:p>
        </w:tc>
        <w:tc>
          <w:tcPr>
            <w:tcW w:w="505" w:type="dxa"/>
            <w:tcBorders>
              <w:bottom w:val="single" w:sz="4" w:space="0" w:color="7C7C7C"/>
            </w:tcBorders>
          </w:tcPr>
          <w:p>
            <w:pPr>
              <w:pStyle w:val="TableParagraph"/>
              <w:rPr>
                <w:sz w:val="20"/>
              </w:rPr>
            </w:pPr>
          </w:p>
        </w:tc>
        <w:tc>
          <w:tcPr>
            <w:tcW w:w="1601" w:type="dxa"/>
            <w:tcBorders>
              <w:bottom w:val="single" w:sz="4" w:space="0" w:color="7C7C7C"/>
            </w:tcBorders>
          </w:tcPr>
          <w:p>
            <w:pPr>
              <w:pStyle w:val="TableParagraph"/>
              <w:rPr>
                <w:sz w:val="20"/>
              </w:rPr>
            </w:pPr>
          </w:p>
        </w:tc>
        <w:tc>
          <w:tcPr>
            <w:tcW w:w="1500" w:type="dxa"/>
            <w:tcBorders>
              <w:bottom w:val="single" w:sz="4" w:space="0" w:color="7C7C7C"/>
            </w:tcBorders>
          </w:tcPr>
          <w:p>
            <w:pPr>
              <w:pStyle w:val="TableParagraph"/>
              <w:rPr>
                <w:sz w:val="20"/>
              </w:rPr>
            </w:pPr>
          </w:p>
        </w:tc>
        <w:tc>
          <w:tcPr>
            <w:tcW w:w="1474" w:type="dxa"/>
            <w:tcBorders>
              <w:bottom w:val="single" w:sz="4" w:space="0" w:color="7C7C7C"/>
            </w:tcBorders>
          </w:tcPr>
          <w:p>
            <w:pPr>
              <w:pStyle w:val="TableParagraph"/>
              <w:rPr>
                <w:sz w:val="20"/>
              </w:rPr>
            </w:pPr>
          </w:p>
        </w:tc>
        <w:tc>
          <w:tcPr>
            <w:tcW w:w="1371" w:type="dxa"/>
            <w:tcBorders>
              <w:bottom w:val="single" w:sz="4" w:space="0" w:color="7C7C7C"/>
            </w:tcBorders>
          </w:tcPr>
          <w:p>
            <w:pPr>
              <w:pStyle w:val="TableParagraph"/>
              <w:spacing w:line="268" w:lineRule="exact"/>
              <w:ind w:left="19"/>
              <w:jc w:val="center"/>
              <w:rPr>
                <w:sz w:val="24"/>
              </w:rPr>
            </w:pPr>
            <w:r>
              <w:rPr>
                <w:spacing w:val="-10"/>
                <w:sz w:val="24"/>
              </w:rPr>
              <w:t>0</w:t>
            </w:r>
          </w:p>
        </w:tc>
      </w:tr>
      <w:tr>
        <w:trPr>
          <w:trHeight w:val="552" w:hRule="atLeast"/>
        </w:trPr>
        <w:tc>
          <w:tcPr>
            <w:tcW w:w="1689" w:type="dxa"/>
            <w:tcBorders>
              <w:top w:val="single" w:sz="4" w:space="0" w:color="7C7C7C"/>
              <w:bottom w:val="single" w:sz="4" w:space="0" w:color="000000"/>
            </w:tcBorders>
          </w:tcPr>
          <w:p>
            <w:pPr>
              <w:pStyle w:val="TableParagraph"/>
              <w:spacing w:line="272" w:lineRule="exact"/>
              <w:ind w:left="108"/>
              <w:rPr>
                <w:i/>
                <w:sz w:val="24"/>
              </w:rPr>
            </w:pPr>
            <w:r>
              <w:rPr>
                <w:i/>
                <w:sz w:val="24"/>
              </w:rPr>
              <w:t>Valid</w:t>
            </w:r>
            <w:r>
              <w:rPr>
                <w:i/>
                <w:spacing w:val="-4"/>
                <w:sz w:val="24"/>
              </w:rPr>
              <w:t> </w:t>
            </w:r>
            <w:r>
              <w:rPr>
                <w:i/>
                <w:spacing w:val="-10"/>
                <w:sz w:val="24"/>
              </w:rPr>
              <w:t>N</w:t>
            </w:r>
          </w:p>
          <w:p>
            <w:pPr>
              <w:pStyle w:val="TableParagraph"/>
              <w:spacing w:line="260" w:lineRule="exact"/>
              <w:ind w:left="108"/>
              <w:rPr>
                <w:i/>
                <w:sz w:val="24"/>
              </w:rPr>
            </w:pPr>
            <w:r>
              <w:rPr>
                <w:i/>
                <w:spacing w:val="-2"/>
                <w:sz w:val="24"/>
              </w:rPr>
              <w:t>(listwise)</w:t>
            </w:r>
          </w:p>
        </w:tc>
        <w:tc>
          <w:tcPr>
            <w:tcW w:w="505" w:type="dxa"/>
            <w:tcBorders>
              <w:top w:val="single" w:sz="4" w:space="0" w:color="7C7C7C"/>
              <w:bottom w:val="single" w:sz="4" w:space="0" w:color="000000"/>
            </w:tcBorders>
          </w:tcPr>
          <w:p>
            <w:pPr>
              <w:pStyle w:val="TableParagraph"/>
              <w:spacing w:line="269" w:lineRule="exact"/>
              <w:ind w:left="7" w:right="16"/>
              <w:jc w:val="center"/>
              <w:rPr>
                <w:sz w:val="24"/>
              </w:rPr>
            </w:pPr>
            <w:r>
              <w:rPr>
                <w:spacing w:val="-5"/>
                <w:sz w:val="24"/>
              </w:rPr>
              <w:t>80</w:t>
            </w:r>
          </w:p>
        </w:tc>
        <w:tc>
          <w:tcPr>
            <w:tcW w:w="1601" w:type="dxa"/>
            <w:tcBorders>
              <w:top w:val="single" w:sz="4" w:space="0" w:color="7C7C7C"/>
              <w:bottom w:val="single" w:sz="4" w:space="0" w:color="000000"/>
            </w:tcBorders>
          </w:tcPr>
          <w:p>
            <w:pPr>
              <w:pStyle w:val="TableParagraph"/>
              <w:rPr>
                <w:sz w:val="22"/>
              </w:rPr>
            </w:pPr>
          </w:p>
        </w:tc>
        <w:tc>
          <w:tcPr>
            <w:tcW w:w="1500" w:type="dxa"/>
            <w:tcBorders>
              <w:top w:val="single" w:sz="4" w:space="0" w:color="7C7C7C"/>
              <w:bottom w:val="single" w:sz="4" w:space="0" w:color="000000"/>
            </w:tcBorders>
          </w:tcPr>
          <w:p>
            <w:pPr>
              <w:pStyle w:val="TableParagraph"/>
              <w:rPr>
                <w:sz w:val="22"/>
              </w:rPr>
            </w:pPr>
          </w:p>
        </w:tc>
        <w:tc>
          <w:tcPr>
            <w:tcW w:w="1474" w:type="dxa"/>
            <w:tcBorders>
              <w:top w:val="single" w:sz="4" w:space="0" w:color="7C7C7C"/>
              <w:bottom w:val="single" w:sz="4" w:space="0" w:color="000000"/>
            </w:tcBorders>
          </w:tcPr>
          <w:p>
            <w:pPr>
              <w:pStyle w:val="TableParagraph"/>
              <w:rPr>
                <w:sz w:val="22"/>
              </w:rPr>
            </w:pPr>
          </w:p>
        </w:tc>
        <w:tc>
          <w:tcPr>
            <w:tcW w:w="1371" w:type="dxa"/>
            <w:tcBorders>
              <w:top w:val="single" w:sz="4" w:space="0" w:color="7C7C7C"/>
              <w:bottom w:val="single" w:sz="4" w:space="0" w:color="000000"/>
            </w:tcBorders>
          </w:tcPr>
          <w:p>
            <w:pPr>
              <w:pStyle w:val="TableParagraph"/>
              <w:rPr>
                <w:sz w:val="22"/>
              </w:rPr>
            </w:pPr>
          </w:p>
        </w:tc>
      </w:tr>
    </w:tbl>
    <w:p>
      <w:pPr>
        <w:pStyle w:val="BodyText"/>
        <w:spacing w:before="1"/>
        <w:ind w:left="568"/>
      </w:pPr>
      <w:r>
        <w:rPr/>
        <w:t>Sumber:</w:t>
      </w:r>
      <w:r>
        <w:rPr>
          <w:spacing w:val="-4"/>
        </w:rPr>
        <w:t> </w:t>
      </w:r>
      <w:r>
        <w:rPr/>
        <w:t>Data</w:t>
      </w:r>
      <w:r>
        <w:rPr>
          <w:spacing w:val="-6"/>
        </w:rPr>
        <w:t> </w:t>
      </w:r>
      <w:r>
        <w:rPr/>
        <w:t>diolah,</w:t>
      </w:r>
      <w:r>
        <w:rPr>
          <w:spacing w:val="-1"/>
        </w:rPr>
        <w:t> </w:t>
      </w:r>
      <w:r>
        <w:rPr>
          <w:spacing w:val="-2"/>
        </w:rPr>
        <w:t>2025.</w:t>
      </w:r>
    </w:p>
    <w:p>
      <w:pPr>
        <w:pStyle w:val="BodyText"/>
        <w:spacing w:before="237"/>
        <w:ind w:left="568" w:right="138" w:firstLine="566"/>
        <w:jc w:val="both"/>
      </w:pPr>
      <w:r>
        <w:rPr/>
        <w:t>Variabel profitabilitas (ROA) memiliki nilai minimum sebesar −0,276075 (KBLV</w:t>
      </w:r>
      <w:r>
        <w:rPr>
          <w:spacing w:val="-11"/>
        </w:rPr>
        <w:t> </w:t>
      </w:r>
      <w:r>
        <w:rPr/>
        <w:t>tahun</w:t>
      </w:r>
      <w:r>
        <w:rPr>
          <w:spacing w:val="-5"/>
        </w:rPr>
        <w:t> </w:t>
      </w:r>
      <w:r>
        <w:rPr/>
        <w:t>2021)</w:t>
      </w:r>
      <w:r>
        <w:rPr>
          <w:spacing w:val="-6"/>
        </w:rPr>
        <w:t> </w:t>
      </w:r>
      <w:r>
        <w:rPr/>
        <w:t>dan</w:t>
      </w:r>
      <w:r>
        <w:rPr>
          <w:spacing w:val="-3"/>
        </w:rPr>
        <w:t> </w:t>
      </w:r>
      <w:r>
        <w:rPr/>
        <w:t>maksimum</w:t>
      </w:r>
      <w:r>
        <w:rPr>
          <w:spacing w:val="-7"/>
        </w:rPr>
        <w:t> </w:t>
      </w:r>
      <w:r>
        <w:rPr/>
        <w:t>sebesar</w:t>
      </w:r>
      <w:r>
        <w:rPr>
          <w:spacing w:val="-1"/>
        </w:rPr>
        <w:t> </w:t>
      </w:r>
      <w:r>
        <w:rPr/>
        <w:t>0,120735</w:t>
      </w:r>
      <w:r>
        <w:rPr>
          <w:spacing w:val="-3"/>
        </w:rPr>
        <w:t> </w:t>
      </w:r>
      <w:r>
        <w:rPr/>
        <w:t>(LINK</w:t>
      </w:r>
      <w:r>
        <w:rPr>
          <w:spacing w:val="-1"/>
        </w:rPr>
        <w:t> </w:t>
      </w:r>
      <w:r>
        <w:rPr/>
        <w:t>tahun</w:t>
      </w:r>
      <w:r>
        <w:rPr>
          <w:spacing w:val="-5"/>
        </w:rPr>
        <w:t> </w:t>
      </w:r>
      <w:r>
        <w:rPr/>
        <w:t>2020),</w:t>
      </w:r>
      <w:r>
        <w:rPr>
          <w:spacing w:val="-3"/>
        </w:rPr>
        <w:t> </w:t>
      </w:r>
      <w:r>
        <w:rPr/>
        <w:t>dengan rata-rata 0,020040 dan standar deviasi 0,065072. Nilai minimum yang negatif menunjukkan bahwa pada periode tertentu terdapat perusahaan yang mengalami kerugian. Standar deviasi yang relatif lebih besar dari rata-rata menunjukkan bahwa tingkat profitabilitas perusahaan dalam sampel bersifat fluktuatif.</w:t>
      </w:r>
    </w:p>
    <w:p>
      <w:pPr>
        <w:pStyle w:val="BodyText"/>
        <w:spacing w:before="1"/>
        <w:ind w:left="568" w:right="129" w:firstLine="566"/>
        <w:jc w:val="both"/>
      </w:pPr>
      <w:r>
        <w:rPr/>
        <w:t>Variabel likuiditas (CR) memiliki nilai minimum 0,027167 (KBLV tahun 2020) dan maksimum 25,397087 (LCKM tahun 2023). Nilai rata-rata CR sebesar 1,606895 dengan standar deviasi 3,878738. Rata-rata di atas 1 menunjukkan bahwa secara umum perusahaan mampu memenuhi kewajiban jangka pendek, namun standar deviasi yang tinggi mengindikasikan adanya ketimpangan tingkat likuiditas antar perusahaan. Kemudian variabel solvabilitas (DER) memiliki nilai minimum −34,930002 (CENT tahun 2022) dan maksimum 149,869374 (KBLV tahun 2021). Nilai rata-rata DER sebesar 2,772785 dengan standar deviasi 17,325159. Perbedaan yang besar antara nilai minimum, maksimum, dan standar deviasi menunjukkan bahwa struktur permodalan perusahaan sangat bervariasi, dengan tingkat penggunaan utang yang berbeda-beda.</w:t>
      </w:r>
    </w:p>
    <w:p>
      <w:pPr>
        <w:pStyle w:val="BodyText"/>
        <w:ind w:left="568" w:right="129" w:firstLine="566"/>
        <w:jc w:val="both"/>
      </w:pPr>
      <w:r>
        <w:rPr/>
        <w:t>Variabel pertumbuhan aset memiliki nilai minimum −0,722786 (KBLV tahun 2022) dan maksimum 1,595089 (CENT tahun 2021). Nilai rata-rata sebesar 0,103263 dengan standar deviasi 0,325939. Hal ini menunjukkan bahwa pertumbuhan aset cenderung positif, namun masih menunjukkan fluktuasi antar perusahaan dan periode. Sedangkan variabel nilai perusahaan yang diproksikan dengan PBV memiliki nilai minimum −1.901,871454 (CENT tahun 2022) dan maksimum 32.674,246740 (KBLV tahun 2021). Nilai rata-rata PBV sebesar 1.763,428500 dengan standar deviasi 4.033,837220. Standar deviasi yang lebih besar dari rata-rata menunjukkan bahwa penilaian pasar terhadap perusahaan dalam sampel sangat beragam.</w:t>
      </w:r>
    </w:p>
    <w:p>
      <w:pPr>
        <w:pStyle w:val="Heading2"/>
        <w:spacing w:before="274"/>
        <w:ind w:left="480" w:right="6462"/>
        <w:jc w:val="center"/>
      </w:pPr>
      <w:bookmarkStart w:name="Uji Normalitas" w:id="36"/>
      <w:bookmarkEnd w:id="36"/>
      <w:r>
        <w:rPr>
          <w:b w:val="0"/>
        </w:rPr>
      </w:r>
      <w:r>
        <w:rPr/>
        <w:t>Uji</w:t>
      </w:r>
      <w:r>
        <w:rPr>
          <w:spacing w:val="-4"/>
        </w:rPr>
        <w:t> </w:t>
      </w:r>
      <w:r>
        <w:rPr>
          <w:spacing w:val="-2"/>
        </w:rPr>
        <w:t>Normalitas</w:t>
      </w:r>
    </w:p>
    <w:p>
      <w:pPr>
        <w:spacing w:before="0"/>
        <w:ind w:left="428" w:right="0" w:firstLine="0"/>
        <w:jc w:val="center"/>
        <w:rPr>
          <w:b/>
          <w:sz w:val="24"/>
        </w:rPr>
      </w:pPr>
      <w:r>
        <w:rPr>
          <w:b/>
          <w:sz w:val="24"/>
        </w:rPr>
        <w:t>Tabel</w:t>
      </w:r>
      <w:r>
        <w:rPr>
          <w:b/>
          <w:spacing w:val="-12"/>
          <w:sz w:val="24"/>
        </w:rPr>
        <w:t> </w:t>
      </w:r>
      <w:r>
        <w:rPr>
          <w:b/>
          <w:sz w:val="24"/>
        </w:rPr>
        <w:t>3.</w:t>
      </w:r>
      <w:r>
        <w:rPr>
          <w:b/>
          <w:spacing w:val="-9"/>
          <w:sz w:val="24"/>
        </w:rPr>
        <w:t> </w:t>
      </w:r>
      <w:r>
        <w:rPr>
          <w:b/>
          <w:sz w:val="24"/>
        </w:rPr>
        <w:t>Hasil</w:t>
      </w:r>
      <w:r>
        <w:rPr>
          <w:b/>
          <w:spacing w:val="-12"/>
          <w:sz w:val="24"/>
        </w:rPr>
        <w:t> </w:t>
      </w:r>
      <w:r>
        <w:rPr>
          <w:b/>
          <w:sz w:val="24"/>
        </w:rPr>
        <w:t>Uji</w:t>
      </w:r>
      <w:r>
        <w:rPr>
          <w:b/>
          <w:spacing w:val="-3"/>
          <w:sz w:val="24"/>
        </w:rPr>
        <w:t> </w:t>
      </w:r>
      <w:r>
        <w:rPr>
          <w:b/>
          <w:sz w:val="24"/>
        </w:rPr>
        <w:t>Normalitas</w:t>
      </w:r>
      <w:r>
        <w:rPr>
          <w:b/>
          <w:spacing w:val="-6"/>
          <w:sz w:val="24"/>
        </w:rPr>
        <w:t> </w:t>
      </w:r>
      <w:r>
        <w:rPr>
          <w:b/>
          <w:spacing w:val="-2"/>
          <w:sz w:val="24"/>
        </w:rPr>
        <w:t>Residual</w:t>
      </w:r>
    </w:p>
    <w:p>
      <w:pPr>
        <w:spacing w:after="0"/>
        <w:jc w:val="center"/>
        <w:rPr>
          <w:b/>
          <w:sz w:val="24"/>
        </w:rPr>
        <w:sectPr>
          <w:pgSz w:w="11910" w:h="16840"/>
          <w:pgMar w:header="795" w:footer="0" w:top="1080" w:bottom="280" w:left="1700" w:right="1559"/>
        </w:sectPr>
      </w:pPr>
    </w:p>
    <w:tbl>
      <w:tblPr>
        <w:tblW w:w="0" w:type="auto"/>
        <w:jc w:val="left"/>
        <w:tblInd w:w="1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3"/>
        <w:gridCol w:w="3340"/>
      </w:tblGrid>
      <w:tr>
        <w:trPr>
          <w:trHeight w:val="269" w:hRule="atLeast"/>
        </w:trPr>
        <w:tc>
          <w:tcPr>
            <w:tcW w:w="2613" w:type="dxa"/>
          </w:tcPr>
          <w:p>
            <w:pPr>
              <w:pStyle w:val="TableParagraph"/>
              <w:spacing w:line="250" w:lineRule="exact"/>
              <w:ind w:left="108"/>
              <w:rPr>
                <w:b/>
                <w:sz w:val="24"/>
              </w:rPr>
            </w:pPr>
            <w:r>
              <w:rPr>
                <w:b/>
                <w:spacing w:val="-2"/>
                <w:sz w:val="24"/>
              </w:rPr>
              <w:t>Keterangan</w:t>
            </w:r>
          </w:p>
        </w:tc>
        <w:tc>
          <w:tcPr>
            <w:tcW w:w="3340" w:type="dxa"/>
          </w:tcPr>
          <w:p>
            <w:pPr>
              <w:pStyle w:val="TableParagraph"/>
              <w:spacing w:line="250" w:lineRule="exact"/>
              <w:ind w:left="230" w:right="3"/>
              <w:jc w:val="center"/>
              <w:rPr>
                <w:b/>
                <w:i/>
                <w:sz w:val="24"/>
              </w:rPr>
            </w:pPr>
            <w:r>
              <w:rPr>
                <w:b/>
                <w:i/>
                <w:sz w:val="24"/>
              </w:rPr>
              <w:t>Unstandardized</w:t>
            </w:r>
            <w:r>
              <w:rPr>
                <w:b/>
                <w:i/>
                <w:spacing w:val="-7"/>
                <w:sz w:val="24"/>
              </w:rPr>
              <w:t> </w:t>
            </w:r>
            <w:r>
              <w:rPr>
                <w:b/>
                <w:i/>
                <w:spacing w:val="-2"/>
                <w:sz w:val="24"/>
              </w:rPr>
              <w:t>Residual</w:t>
            </w:r>
          </w:p>
        </w:tc>
      </w:tr>
      <w:tr>
        <w:trPr>
          <w:trHeight w:val="282" w:hRule="atLeast"/>
        </w:trPr>
        <w:tc>
          <w:tcPr>
            <w:tcW w:w="2613" w:type="dxa"/>
            <w:tcBorders>
              <w:bottom w:val="single" w:sz="4" w:space="0" w:color="7C7C7C"/>
            </w:tcBorders>
          </w:tcPr>
          <w:p>
            <w:pPr>
              <w:pStyle w:val="TableParagraph"/>
              <w:spacing w:line="269" w:lineRule="exact"/>
              <w:ind w:left="108"/>
              <w:rPr>
                <w:sz w:val="24"/>
              </w:rPr>
            </w:pPr>
            <w:r>
              <w:rPr>
                <w:spacing w:val="-10"/>
                <w:sz w:val="24"/>
              </w:rPr>
              <w:t>N</w:t>
            </w:r>
          </w:p>
        </w:tc>
        <w:tc>
          <w:tcPr>
            <w:tcW w:w="3340" w:type="dxa"/>
            <w:tcBorders>
              <w:bottom w:val="single" w:sz="4" w:space="0" w:color="7C7C7C"/>
            </w:tcBorders>
          </w:tcPr>
          <w:p>
            <w:pPr>
              <w:pStyle w:val="TableParagraph"/>
              <w:spacing w:line="269" w:lineRule="exact"/>
              <w:ind w:left="230"/>
              <w:jc w:val="center"/>
              <w:rPr>
                <w:sz w:val="24"/>
              </w:rPr>
            </w:pPr>
            <w:r>
              <w:rPr>
                <w:spacing w:val="-5"/>
                <w:sz w:val="24"/>
              </w:rPr>
              <w:t>80</w:t>
            </w:r>
          </w:p>
        </w:tc>
      </w:tr>
      <w:tr>
        <w:trPr>
          <w:trHeight w:val="275" w:hRule="atLeast"/>
        </w:trPr>
        <w:tc>
          <w:tcPr>
            <w:tcW w:w="2613" w:type="dxa"/>
            <w:tcBorders>
              <w:top w:val="single" w:sz="4" w:space="0" w:color="7C7C7C"/>
              <w:bottom w:val="single" w:sz="4" w:space="0" w:color="7C7C7C"/>
            </w:tcBorders>
          </w:tcPr>
          <w:p>
            <w:pPr>
              <w:pStyle w:val="TableParagraph"/>
              <w:spacing w:line="254" w:lineRule="exact"/>
              <w:ind w:left="108"/>
              <w:rPr>
                <w:i/>
                <w:sz w:val="24"/>
              </w:rPr>
            </w:pPr>
            <w:r>
              <w:rPr>
                <w:i/>
                <w:spacing w:val="-4"/>
                <w:sz w:val="24"/>
              </w:rPr>
              <w:t>Test</w:t>
            </w:r>
            <w:r>
              <w:rPr>
                <w:i/>
                <w:spacing w:val="-12"/>
                <w:sz w:val="24"/>
              </w:rPr>
              <w:t> </w:t>
            </w:r>
            <w:r>
              <w:rPr>
                <w:i/>
                <w:spacing w:val="-2"/>
                <w:sz w:val="24"/>
              </w:rPr>
              <w:t>Statistic</w:t>
            </w:r>
          </w:p>
        </w:tc>
        <w:tc>
          <w:tcPr>
            <w:tcW w:w="3340" w:type="dxa"/>
            <w:tcBorders>
              <w:top w:val="single" w:sz="4" w:space="0" w:color="7C7C7C"/>
              <w:bottom w:val="single" w:sz="4" w:space="0" w:color="7C7C7C"/>
            </w:tcBorders>
          </w:tcPr>
          <w:p>
            <w:pPr>
              <w:pStyle w:val="TableParagraph"/>
              <w:spacing w:line="254" w:lineRule="exact"/>
              <w:ind w:left="230" w:right="7"/>
              <w:jc w:val="center"/>
              <w:rPr>
                <w:sz w:val="24"/>
              </w:rPr>
            </w:pPr>
            <w:r>
              <w:rPr>
                <w:spacing w:val="-2"/>
                <w:sz w:val="24"/>
              </w:rPr>
              <w:t>0,165</w:t>
            </w:r>
          </w:p>
        </w:tc>
      </w:tr>
      <w:tr>
        <w:trPr>
          <w:trHeight w:val="260" w:hRule="atLeast"/>
        </w:trPr>
        <w:tc>
          <w:tcPr>
            <w:tcW w:w="2613" w:type="dxa"/>
            <w:tcBorders>
              <w:top w:val="single" w:sz="4" w:space="0" w:color="7C7C7C"/>
            </w:tcBorders>
          </w:tcPr>
          <w:p>
            <w:pPr>
              <w:pStyle w:val="TableParagraph"/>
              <w:spacing w:line="235" w:lineRule="exact"/>
              <w:ind w:left="108"/>
              <w:rPr>
                <w:i/>
                <w:sz w:val="24"/>
              </w:rPr>
            </w:pPr>
            <w:r>
              <w:rPr>
                <w:i/>
                <w:sz w:val="24"/>
              </w:rPr>
              <w:t>Asymp.Sig</w:t>
            </w:r>
            <w:r>
              <w:rPr>
                <w:i/>
                <w:spacing w:val="-8"/>
                <w:sz w:val="24"/>
              </w:rPr>
              <w:t> </w:t>
            </w:r>
            <w:r>
              <w:rPr>
                <w:i/>
                <w:sz w:val="24"/>
              </w:rPr>
              <w:t>(2-</w:t>
            </w:r>
            <w:r>
              <w:rPr>
                <w:i/>
                <w:spacing w:val="-2"/>
                <w:sz w:val="24"/>
              </w:rPr>
              <w:t>tailed)</w:t>
            </w:r>
          </w:p>
        </w:tc>
        <w:tc>
          <w:tcPr>
            <w:tcW w:w="3340" w:type="dxa"/>
            <w:tcBorders>
              <w:top w:val="single" w:sz="4" w:space="0" w:color="7C7C7C"/>
            </w:tcBorders>
          </w:tcPr>
          <w:p>
            <w:pPr>
              <w:pStyle w:val="TableParagraph"/>
              <w:spacing w:line="235" w:lineRule="exact"/>
              <w:ind w:left="230" w:right="5"/>
              <w:jc w:val="center"/>
              <w:rPr>
                <w:sz w:val="24"/>
              </w:rPr>
            </w:pPr>
            <w:r>
              <w:rPr>
                <w:spacing w:val="-4"/>
                <w:sz w:val="24"/>
              </w:rPr>
              <w:t>,000</w:t>
            </w:r>
          </w:p>
        </w:tc>
      </w:tr>
    </w:tbl>
    <w:p>
      <w:pPr>
        <w:pStyle w:val="BodyText"/>
        <w:spacing w:before="21"/>
        <w:ind w:left="1561"/>
      </w:pPr>
      <w:r>
        <w:rPr/>
        <w:t>Sumber:</w:t>
      </w:r>
      <w:r>
        <w:rPr>
          <w:spacing w:val="-7"/>
        </w:rPr>
        <w:t> </w:t>
      </w:r>
      <w:r>
        <w:rPr/>
        <w:t>Data</w:t>
      </w:r>
      <w:r>
        <w:rPr>
          <w:spacing w:val="-3"/>
        </w:rPr>
        <w:t> </w:t>
      </w:r>
      <w:r>
        <w:rPr/>
        <w:t>diolah,</w:t>
      </w:r>
      <w:r>
        <w:rPr>
          <w:spacing w:val="-1"/>
        </w:rPr>
        <w:t> </w:t>
      </w:r>
      <w:r>
        <w:rPr>
          <w:spacing w:val="-2"/>
        </w:rPr>
        <w:t>2025.</w:t>
      </w:r>
    </w:p>
    <w:p>
      <w:pPr>
        <w:pStyle w:val="BodyText"/>
        <w:spacing w:before="238"/>
        <w:ind w:left="568" w:right="137" w:firstLine="566"/>
        <w:jc w:val="both"/>
      </w:pPr>
      <w:r>
        <w:rPr/>
        <w:t>Berdasarkan uji normalitas Kolmogorov–Smirnov di atas, diperoleh nilai </w:t>
      </w:r>
      <w:r>
        <w:rPr>
          <w:i/>
        </w:rPr>
        <w:t>Asymp. Sig. </w:t>
      </w:r>
      <w:r>
        <w:rPr/>
        <w:t>sebesar 0,000 (&lt; 0,05), sehingga residual tidak berdistribusi normal dan asumsi normalitas belum terpenuhi.</w:t>
      </w:r>
    </w:p>
    <w:p>
      <w:pPr>
        <w:pStyle w:val="Heading2"/>
        <w:spacing w:before="240" w:after="12"/>
        <w:ind w:left="427"/>
        <w:jc w:val="center"/>
      </w:pPr>
      <w:bookmarkStart w:name="Tabel 4. Hasil Uji Normalitas Setelah Tr" w:id="37"/>
      <w:bookmarkEnd w:id="37"/>
      <w:r>
        <w:rPr>
          <w:b w:val="0"/>
        </w:rPr>
      </w:r>
      <w:r>
        <w:rPr/>
        <w:t>Tabel</w:t>
      </w:r>
      <w:r>
        <w:rPr>
          <w:spacing w:val="-12"/>
        </w:rPr>
        <w:t> </w:t>
      </w:r>
      <w:r>
        <w:rPr/>
        <w:t>4.</w:t>
      </w:r>
      <w:r>
        <w:rPr>
          <w:spacing w:val="-7"/>
        </w:rPr>
        <w:t> </w:t>
      </w:r>
      <w:r>
        <w:rPr/>
        <w:t>Hasil</w:t>
      </w:r>
      <w:r>
        <w:rPr>
          <w:spacing w:val="-8"/>
        </w:rPr>
        <w:t> </w:t>
      </w:r>
      <w:r>
        <w:rPr/>
        <w:t>Uji</w:t>
      </w:r>
      <w:r>
        <w:rPr>
          <w:spacing w:val="-7"/>
        </w:rPr>
        <w:t> </w:t>
      </w:r>
      <w:r>
        <w:rPr/>
        <w:t>Normalitas</w:t>
      </w:r>
      <w:r>
        <w:rPr>
          <w:spacing w:val="-5"/>
        </w:rPr>
        <w:t> </w:t>
      </w:r>
      <w:r>
        <w:rPr/>
        <w:t>Setelah</w:t>
      </w:r>
      <w:r>
        <w:rPr>
          <w:spacing w:val="-8"/>
        </w:rPr>
        <w:t> </w:t>
      </w:r>
      <w:r>
        <w:rPr>
          <w:spacing w:val="-2"/>
        </w:rPr>
        <w:t>Transform</w:t>
      </w:r>
    </w:p>
    <w:tbl>
      <w:tblPr>
        <w:tblW w:w="0" w:type="auto"/>
        <w:jc w:val="left"/>
        <w:tblInd w:w="1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3"/>
        <w:gridCol w:w="3340"/>
      </w:tblGrid>
      <w:tr>
        <w:trPr>
          <w:trHeight w:val="262" w:hRule="atLeast"/>
        </w:trPr>
        <w:tc>
          <w:tcPr>
            <w:tcW w:w="2613" w:type="dxa"/>
            <w:tcBorders>
              <w:top w:val="single" w:sz="4" w:space="0" w:color="000000"/>
            </w:tcBorders>
          </w:tcPr>
          <w:p>
            <w:pPr>
              <w:pStyle w:val="TableParagraph"/>
              <w:spacing w:line="242" w:lineRule="exact"/>
              <w:ind w:left="108"/>
              <w:rPr>
                <w:b/>
                <w:sz w:val="24"/>
              </w:rPr>
            </w:pPr>
            <w:r>
              <w:rPr>
                <w:b/>
                <w:spacing w:val="-2"/>
                <w:sz w:val="24"/>
              </w:rPr>
              <w:t>Keterangan</w:t>
            </w:r>
          </w:p>
        </w:tc>
        <w:tc>
          <w:tcPr>
            <w:tcW w:w="3340" w:type="dxa"/>
            <w:tcBorders>
              <w:top w:val="single" w:sz="4" w:space="0" w:color="000000"/>
            </w:tcBorders>
          </w:tcPr>
          <w:p>
            <w:pPr>
              <w:pStyle w:val="TableParagraph"/>
              <w:spacing w:line="242" w:lineRule="exact"/>
              <w:ind w:left="230" w:right="3"/>
              <w:jc w:val="center"/>
              <w:rPr>
                <w:b/>
                <w:i/>
                <w:sz w:val="24"/>
              </w:rPr>
            </w:pPr>
            <w:r>
              <w:rPr>
                <w:b/>
                <w:i/>
                <w:sz w:val="24"/>
              </w:rPr>
              <w:t>Unstandardized</w:t>
            </w:r>
            <w:r>
              <w:rPr>
                <w:b/>
                <w:i/>
                <w:spacing w:val="-7"/>
                <w:sz w:val="24"/>
              </w:rPr>
              <w:t> </w:t>
            </w:r>
            <w:r>
              <w:rPr>
                <w:b/>
                <w:i/>
                <w:spacing w:val="-2"/>
                <w:sz w:val="24"/>
              </w:rPr>
              <w:t>Residual</w:t>
            </w:r>
          </w:p>
        </w:tc>
      </w:tr>
      <w:tr>
        <w:trPr>
          <w:trHeight w:val="283" w:hRule="atLeast"/>
        </w:trPr>
        <w:tc>
          <w:tcPr>
            <w:tcW w:w="2613" w:type="dxa"/>
            <w:tcBorders>
              <w:bottom w:val="single" w:sz="4" w:space="0" w:color="7C7C7C"/>
            </w:tcBorders>
          </w:tcPr>
          <w:p>
            <w:pPr>
              <w:pStyle w:val="TableParagraph"/>
              <w:spacing w:line="269" w:lineRule="exact"/>
              <w:ind w:left="108"/>
              <w:rPr>
                <w:sz w:val="24"/>
              </w:rPr>
            </w:pPr>
            <w:r>
              <w:rPr>
                <w:spacing w:val="-10"/>
                <w:sz w:val="24"/>
              </w:rPr>
              <w:t>N</w:t>
            </w:r>
          </w:p>
        </w:tc>
        <w:tc>
          <w:tcPr>
            <w:tcW w:w="3340" w:type="dxa"/>
            <w:tcBorders>
              <w:bottom w:val="single" w:sz="4" w:space="0" w:color="7C7C7C"/>
            </w:tcBorders>
          </w:tcPr>
          <w:p>
            <w:pPr>
              <w:pStyle w:val="TableParagraph"/>
              <w:spacing w:line="269" w:lineRule="exact"/>
              <w:ind w:left="230"/>
              <w:jc w:val="center"/>
              <w:rPr>
                <w:sz w:val="24"/>
              </w:rPr>
            </w:pPr>
            <w:r>
              <w:rPr>
                <w:spacing w:val="-5"/>
                <w:sz w:val="24"/>
              </w:rPr>
              <w:t>80</w:t>
            </w:r>
          </w:p>
        </w:tc>
      </w:tr>
      <w:tr>
        <w:trPr>
          <w:trHeight w:val="275" w:hRule="atLeast"/>
        </w:trPr>
        <w:tc>
          <w:tcPr>
            <w:tcW w:w="2613" w:type="dxa"/>
            <w:tcBorders>
              <w:top w:val="single" w:sz="4" w:space="0" w:color="7C7C7C"/>
              <w:bottom w:val="single" w:sz="4" w:space="0" w:color="7C7C7C"/>
            </w:tcBorders>
          </w:tcPr>
          <w:p>
            <w:pPr>
              <w:pStyle w:val="TableParagraph"/>
              <w:spacing w:line="255" w:lineRule="exact"/>
              <w:ind w:left="108"/>
              <w:rPr>
                <w:i/>
                <w:sz w:val="24"/>
              </w:rPr>
            </w:pPr>
            <w:r>
              <w:rPr>
                <w:i/>
                <w:spacing w:val="-4"/>
                <w:sz w:val="24"/>
              </w:rPr>
              <w:t>Test</w:t>
            </w:r>
            <w:r>
              <w:rPr>
                <w:i/>
                <w:spacing w:val="-12"/>
                <w:sz w:val="24"/>
              </w:rPr>
              <w:t> </w:t>
            </w:r>
            <w:r>
              <w:rPr>
                <w:i/>
                <w:spacing w:val="-2"/>
                <w:sz w:val="24"/>
              </w:rPr>
              <w:t>Statistic</w:t>
            </w:r>
          </w:p>
        </w:tc>
        <w:tc>
          <w:tcPr>
            <w:tcW w:w="3340" w:type="dxa"/>
            <w:tcBorders>
              <w:top w:val="single" w:sz="4" w:space="0" w:color="7C7C7C"/>
              <w:bottom w:val="single" w:sz="4" w:space="0" w:color="7C7C7C"/>
            </w:tcBorders>
          </w:tcPr>
          <w:p>
            <w:pPr>
              <w:pStyle w:val="TableParagraph"/>
              <w:spacing w:line="255" w:lineRule="exact"/>
              <w:ind w:left="230" w:right="7"/>
              <w:jc w:val="center"/>
              <w:rPr>
                <w:sz w:val="24"/>
              </w:rPr>
            </w:pPr>
            <w:r>
              <w:rPr>
                <w:spacing w:val="-2"/>
                <w:sz w:val="24"/>
              </w:rPr>
              <w:t>0,437</w:t>
            </w:r>
          </w:p>
        </w:tc>
      </w:tr>
      <w:tr>
        <w:trPr>
          <w:trHeight w:val="260" w:hRule="atLeast"/>
        </w:trPr>
        <w:tc>
          <w:tcPr>
            <w:tcW w:w="2613" w:type="dxa"/>
            <w:tcBorders>
              <w:top w:val="single" w:sz="4" w:space="0" w:color="7C7C7C"/>
            </w:tcBorders>
          </w:tcPr>
          <w:p>
            <w:pPr>
              <w:pStyle w:val="TableParagraph"/>
              <w:spacing w:line="235" w:lineRule="exact"/>
              <w:ind w:left="108"/>
              <w:rPr>
                <w:i/>
                <w:sz w:val="24"/>
              </w:rPr>
            </w:pPr>
            <w:r>
              <w:rPr>
                <w:i/>
                <w:sz w:val="24"/>
              </w:rPr>
              <w:t>Asymp.Sig</w:t>
            </w:r>
            <w:r>
              <w:rPr>
                <w:i/>
                <w:spacing w:val="-8"/>
                <w:sz w:val="24"/>
              </w:rPr>
              <w:t> </w:t>
            </w:r>
            <w:r>
              <w:rPr>
                <w:i/>
                <w:sz w:val="24"/>
              </w:rPr>
              <w:t>(2-</w:t>
            </w:r>
            <w:r>
              <w:rPr>
                <w:i/>
                <w:spacing w:val="-2"/>
                <w:sz w:val="24"/>
              </w:rPr>
              <w:t>tailed)</w:t>
            </w:r>
          </w:p>
        </w:tc>
        <w:tc>
          <w:tcPr>
            <w:tcW w:w="3340" w:type="dxa"/>
            <w:tcBorders>
              <w:top w:val="single" w:sz="4" w:space="0" w:color="7C7C7C"/>
            </w:tcBorders>
          </w:tcPr>
          <w:p>
            <w:pPr>
              <w:pStyle w:val="TableParagraph"/>
              <w:spacing w:line="235" w:lineRule="exact"/>
              <w:ind w:left="230" w:right="5"/>
              <w:jc w:val="center"/>
              <w:rPr>
                <w:sz w:val="24"/>
              </w:rPr>
            </w:pPr>
            <w:r>
              <w:rPr>
                <w:spacing w:val="-4"/>
                <w:sz w:val="24"/>
              </w:rPr>
              <w:t>,000</w:t>
            </w:r>
          </w:p>
        </w:tc>
      </w:tr>
    </w:tbl>
    <w:p>
      <w:pPr>
        <w:pStyle w:val="BodyText"/>
        <w:spacing w:before="13"/>
        <w:ind w:left="1561"/>
      </w:pPr>
      <w:r>
        <w:rPr/>
        <w:t>Sumber:</w:t>
      </w:r>
      <w:r>
        <w:rPr>
          <w:spacing w:val="-7"/>
        </w:rPr>
        <w:t> </w:t>
      </w:r>
      <w:r>
        <w:rPr/>
        <w:t>Data</w:t>
      </w:r>
      <w:r>
        <w:rPr>
          <w:spacing w:val="-3"/>
        </w:rPr>
        <w:t> </w:t>
      </w:r>
      <w:r>
        <w:rPr/>
        <w:t>diolah,</w:t>
      </w:r>
      <w:r>
        <w:rPr>
          <w:spacing w:val="-1"/>
        </w:rPr>
        <w:t> </w:t>
      </w:r>
      <w:r>
        <w:rPr>
          <w:spacing w:val="-2"/>
        </w:rPr>
        <w:t>2025.</w:t>
      </w:r>
    </w:p>
    <w:p>
      <w:pPr>
        <w:pStyle w:val="BodyText"/>
        <w:spacing w:before="238"/>
        <w:ind w:left="568" w:right="138" w:firstLine="566"/>
        <w:jc w:val="both"/>
      </w:pPr>
      <w:r>
        <w:rPr/>
        <w:t>Setelah dilakukan transformasi data, hasil uji normalitas pada tabel di atas masih menunjukkan nilai </w:t>
      </w:r>
      <w:r>
        <w:rPr>
          <w:i/>
        </w:rPr>
        <w:t>Asymp. Sig</w:t>
      </w:r>
      <w:r>
        <w:rPr/>
        <w:t>. sebesar 0,000 (&lt; 0,05), sehingga residual tetap belum berdistribusi normal. Oleh karena itu, dilakukan penanganan lanjutan melalui deteksi dan penghapusan data outlier menggunakan pendekatan z-score (batas −3 sampai 3). Ditemukan sebanyak 8 data</w:t>
      </w:r>
      <w:r>
        <w:rPr>
          <w:spacing w:val="-1"/>
        </w:rPr>
        <w:t> </w:t>
      </w:r>
      <w:r>
        <w:rPr>
          <w:i/>
        </w:rPr>
        <w:t>outlier </w:t>
      </w:r>
      <w:r>
        <w:rPr/>
        <w:t>(≤10% dari total sampel), kemudian</w:t>
      </w:r>
      <w:r>
        <w:rPr>
          <w:spacing w:val="-1"/>
        </w:rPr>
        <w:t> </w:t>
      </w:r>
      <w:r>
        <w:rPr/>
        <w:t>data</w:t>
      </w:r>
      <w:r>
        <w:rPr>
          <w:spacing w:val="-2"/>
        </w:rPr>
        <w:t> </w:t>
      </w:r>
      <w:r>
        <w:rPr/>
        <w:t>dibersihkan</w:t>
      </w:r>
      <w:r>
        <w:rPr>
          <w:spacing w:val="-1"/>
        </w:rPr>
        <w:t> </w:t>
      </w:r>
      <w:r>
        <w:rPr/>
        <w:t>dan uji</w:t>
      </w:r>
      <w:r>
        <w:rPr>
          <w:spacing w:val="-3"/>
        </w:rPr>
        <w:t> </w:t>
      </w:r>
      <w:r>
        <w:rPr/>
        <w:t>normalitas residual dilakukan kembali sebelum analisis regresi dilanjutkan.</w:t>
      </w:r>
    </w:p>
    <w:p>
      <w:pPr>
        <w:pStyle w:val="Heading2"/>
        <w:spacing w:before="240"/>
        <w:ind w:left="425"/>
        <w:jc w:val="center"/>
      </w:pPr>
      <w:bookmarkStart w:name="Tabel 5. Hasil Uji Normalitas Setelah Ou" w:id="38"/>
      <w:bookmarkEnd w:id="38"/>
      <w:r>
        <w:rPr>
          <w:b w:val="0"/>
        </w:rPr>
      </w:r>
      <w:r>
        <w:rPr/>
        <w:t>Tabel</w:t>
      </w:r>
      <w:r>
        <w:rPr>
          <w:spacing w:val="-12"/>
        </w:rPr>
        <w:t> </w:t>
      </w:r>
      <w:r>
        <w:rPr/>
        <w:t>5.</w:t>
      </w:r>
      <w:r>
        <w:rPr>
          <w:spacing w:val="-7"/>
        </w:rPr>
        <w:t> </w:t>
      </w:r>
      <w:r>
        <w:rPr/>
        <w:t>Hasil</w:t>
      </w:r>
      <w:r>
        <w:rPr>
          <w:spacing w:val="-8"/>
        </w:rPr>
        <w:t> </w:t>
      </w:r>
      <w:r>
        <w:rPr/>
        <w:t>Uji</w:t>
      </w:r>
      <w:r>
        <w:rPr>
          <w:spacing w:val="-7"/>
        </w:rPr>
        <w:t> </w:t>
      </w:r>
      <w:r>
        <w:rPr/>
        <w:t>Normalitas</w:t>
      </w:r>
      <w:r>
        <w:rPr>
          <w:spacing w:val="-5"/>
        </w:rPr>
        <w:t> </w:t>
      </w:r>
      <w:r>
        <w:rPr/>
        <w:t>Setelah</w:t>
      </w:r>
      <w:r>
        <w:rPr>
          <w:spacing w:val="-5"/>
        </w:rPr>
        <w:t> </w:t>
      </w:r>
      <w:r>
        <w:rPr>
          <w:spacing w:val="-2"/>
        </w:rPr>
        <w:t>Outlier</w:t>
      </w:r>
    </w:p>
    <w:p>
      <w:pPr>
        <w:pStyle w:val="BodyText"/>
        <w:spacing w:before="1"/>
        <w:rPr>
          <w:b/>
          <w:sz w:val="6"/>
        </w:rPr>
      </w:pPr>
    </w:p>
    <w:tbl>
      <w:tblPr>
        <w:tblW w:w="0" w:type="auto"/>
        <w:jc w:val="left"/>
        <w:tblInd w:w="1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3"/>
        <w:gridCol w:w="3340"/>
      </w:tblGrid>
      <w:tr>
        <w:trPr>
          <w:trHeight w:val="262" w:hRule="atLeast"/>
        </w:trPr>
        <w:tc>
          <w:tcPr>
            <w:tcW w:w="2613" w:type="dxa"/>
            <w:tcBorders>
              <w:top w:val="single" w:sz="4" w:space="0" w:color="000000"/>
            </w:tcBorders>
          </w:tcPr>
          <w:p>
            <w:pPr>
              <w:pStyle w:val="TableParagraph"/>
              <w:spacing w:line="243" w:lineRule="exact"/>
              <w:ind w:left="108"/>
              <w:rPr>
                <w:b/>
                <w:sz w:val="24"/>
              </w:rPr>
            </w:pPr>
            <w:r>
              <w:rPr>
                <w:b/>
                <w:spacing w:val="-2"/>
                <w:sz w:val="24"/>
              </w:rPr>
              <w:t>Keterangan</w:t>
            </w:r>
          </w:p>
        </w:tc>
        <w:tc>
          <w:tcPr>
            <w:tcW w:w="3340" w:type="dxa"/>
            <w:tcBorders>
              <w:top w:val="single" w:sz="4" w:space="0" w:color="000000"/>
            </w:tcBorders>
          </w:tcPr>
          <w:p>
            <w:pPr>
              <w:pStyle w:val="TableParagraph"/>
              <w:spacing w:line="243" w:lineRule="exact"/>
              <w:ind w:left="230" w:right="3"/>
              <w:jc w:val="center"/>
              <w:rPr>
                <w:b/>
                <w:i/>
                <w:sz w:val="24"/>
              </w:rPr>
            </w:pPr>
            <w:r>
              <w:rPr>
                <w:b/>
                <w:i/>
                <w:sz w:val="24"/>
              </w:rPr>
              <w:t>Unstandardized</w:t>
            </w:r>
            <w:r>
              <w:rPr>
                <w:b/>
                <w:i/>
                <w:spacing w:val="-7"/>
                <w:sz w:val="24"/>
              </w:rPr>
              <w:t> </w:t>
            </w:r>
            <w:r>
              <w:rPr>
                <w:b/>
                <w:i/>
                <w:spacing w:val="-2"/>
                <w:sz w:val="24"/>
              </w:rPr>
              <w:t>Residual</w:t>
            </w:r>
          </w:p>
        </w:tc>
      </w:tr>
      <w:tr>
        <w:trPr>
          <w:trHeight w:val="284" w:hRule="atLeast"/>
        </w:trPr>
        <w:tc>
          <w:tcPr>
            <w:tcW w:w="2613" w:type="dxa"/>
            <w:tcBorders>
              <w:bottom w:val="single" w:sz="4" w:space="0" w:color="7C7C7C"/>
            </w:tcBorders>
          </w:tcPr>
          <w:p>
            <w:pPr>
              <w:pStyle w:val="TableParagraph"/>
              <w:spacing w:line="268" w:lineRule="exact"/>
              <w:ind w:left="108"/>
              <w:rPr>
                <w:sz w:val="24"/>
              </w:rPr>
            </w:pPr>
            <w:r>
              <w:rPr>
                <w:spacing w:val="-10"/>
                <w:sz w:val="24"/>
              </w:rPr>
              <w:t>N</w:t>
            </w:r>
          </w:p>
        </w:tc>
        <w:tc>
          <w:tcPr>
            <w:tcW w:w="3340" w:type="dxa"/>
            <w:tcBorders>
              <w:bottom w:val="single" w:sz="4" w:space="0" w:color="7C7C7C"/>
            </w:tcBorders>
          </w:tcPr>
          <w:p>
            <w:pPr>
              <w:pStyle w:val="TableParagraph"/>
              <w:spacing w:line="268" w:lineRule="exact"/>
              <w:ind w:left="230"/>
              <w:jc w:val="center"/>
              <w:rPr>
                <w:sz w:val="24"/>
              </w:rPr>
            </w:pPr>
            <w:r>
              <w:rPr>
                <w:spacing w:val="-5"/>
                <w:sz w:val="24"/>
              </w:rPr>
              <w:t>72</w:t>
            </w:r>
          </w:p>
        </w:tc>
      </w:tr>
      <w:tr>
        <w:trPr>
          <w:trHeight w:val="273" w:hRule="atLeast"/>
        </w:trPr>
        <w:tc>
          <w:tcPr>
            <w:tcW w:w="2613" w:type="dxa"/>
            <w:tcBorders>
              <w:top w:val="single" w:sz="4" w:space="0" w:color="7C7C7C"/>
              <w:bottom w:val="single" w:sz="4" w:space="0" w:color="7C7C7C"/>
            </w:tcBorders>
          </w:tcPr>
          <w:p>
            <w:pPr>
              <w:pStyle w:val="TableParagraph"/>
              <w:spacing w:line="255" w:lineRule="exact"/>
              <w:ind w:left="108"/>
              <w:rPr>
                <w:i/>
                <w:sz w:val="24"/>
              </w:rPr>
            </w:pPr>
            <w:r>
              <w:rPr>
                <w:i/>
                <w:spacing w:val="-4"/>
                <w:sz w:val="24"/>
              </w:rPr>
              <w:t>Test</w:t>
            </w:r>
            <w:r>
              <w:rPr>
                <w:i/>
                <w:spacing w:val="-12"/>
                <w:sz w:val="24"/>
              </w:rPr>
              <w:t> </w:t>
            </w:r>
            <w:r>
              <w:rPr>
                <w:i/>
                <w:spacing w:val="-2"/>
                <w:sz w:val="24"/>
              </w:rPr>
              <w:t>Statistic</w:t>
            </w:r>
          </w:p>
        </w:tc>
        <w:tc>
          <w:tcPr>
            <w:tcW w:w="3340" w:type="dxa"/>
            <w:tcBorders>
              <w:top w:val="single" w:sz="4" w:space="0" w:color="7C7C7C"/>
              <w:bottom w:val="single" w:sz="4" w:space="0" w:color="7C7C7C"/>
            </w:tcBorders>
          </w:tcPr>
          <w:p>
            <w:pPr>
              <w:pStyle w:val="TableParagraph"/>
              <w:spacing w:line="255" w:lineRule="exact"/>
              <w:ind w:left="230" w:right="7"/>
              <w:jc w:val="center"/>
              <w:rPr>
                <w:sz w:val="24"/>
              </w:rPr>
            </w:pPr>
            <w:r>
              <w:rPr>
                <w:spacing w:val="-2"/>
                <w:sz w:val="24"/>
              </w:rPr>
              <w:t>0,406</w:t>
            </w:r>
          </w:p>
        </w:tc>
      </w:tr>
      <w:tr>
        <w:trPr>
          <w:trHeight w:val="260" w:hRule="atLeast"/>
        </w:trPr>
        <w:tc>
          <w:tcPr>
            <w:tcW w:w="2613" w:type="dxa"/>
            <w:tcBorders>
              <w:top w:val="single" w:sz="4" w:space="0" w:color="7C7C7C"/>
            </w:tcBorders>
          </w:tcPr>
          <w:p>
            <w:pPr>
              <w:pStyle w:val="TableParagraph"/>
              <w:spacing w:line="235" w:lineRule="exact"/>
              <w:ind w:left="108"/>
              <w:rPr>
                <w:i/>
                <w:sz w:val="24"/>
              </w:rPr>
            </w:pPr>
            <w:r>
              <w:rPr>
                <w:i/>
                <w:sz w:val="24"/>
              </w:rPr>
              <w:t>Asymp.Sig</w:t>
            </w:r>
            <w:r>
              <w:rPr>
                <w:i/>
                <w:spacing w:val="-8"/>
                <w:sz w:val="24"/>
              </w:rPr>
              <w:t> </w:t>
            </w:r>
            <w:r>
              <w:rPr>
                <w:i/>
                <w:sz w:val="24"/>
              </w:rPr>
              <w:t>(2-</w:t>
            </w:r>
            <w:r>
              <w:rPr>
                <w:i/>
                <w:spacing w:val="-2"/>
                <w:sz w:val="24"/>
              </w:rPr>
              <w:t>tailed)</w:t>
            </w:r>
          </w:p>
        </w:tc>
        <w:tc>
          <w:tcPr>
            <w:tcW w:w="3340" w:type="dxa"/>
            <w:tcBorders>
              <w:top w:val="single" w:sz="4" w:space="0" w:color="7C7C7C"/>
            </w:tcBorders>
          </w:tcPr>
          <w:p>
            <w:pPr>
              <w:pStyle w:val="TableParagraph"/>
              <w:spacing w:line="235" w:lineRule="exact"/>
              <w:ind w:left="230" w:right="5"/>
              <w:jc w:val="center"/>
              <w:rPr>
                <w:sz w:val="24"/>
              </w:rPr>
            </w:pPr>
            <w:r>
              <w:rPr>
                <w:spacing w:val="-4"/>
                <w:sz w:val="24"/>
              </w:rPr>
              <w:t>,000</w:t>
            </w:r>
          </w:p>
        </w:tc>
      </w:tr>
    </w:tbl>
    <w:p>
      <w:pPr>
        <w:pStyle w:val="BodyText"/>
        <w:spacing w:before="201"/>
        <w:ind w:left="1561"/>
      </w:pPr>
      <w:r>
        <w:rPr/>
        <w:t>Sumber:</w:t>
      </w:r>
      <w:r>
        <w:rPr>
          <w:spacing w:val="-7"/>
        </w:rPr>
        <w:t> </w:t>
      </w:r>
      <w:r>
        <w:rPr/>
        <w:t>Data</w:t>
      </w:r>
      <w:r>
        <w:rPr>
          <w:spacing w:val="-3"/>
        </w:rPr>
        <w:t> </w:t>
      </w:r>
      <w:r>
        <w:rPr/>
        <w:t>diolah,</w:t>
      </w:r>
      <w:r>
        <w:rPr>
          <w:spacing w:val="-1"/>
        </w:rPr>
        <w:t> </w:t>
      </w:r>
      <w:r>
        <w:rPr>
          <w:spacing w:val="-2"/>
        </w:rPr>
        <w:t>2025.</w:t>
      </w:r>
    </w:p>
    <w:p>
      <w:pPr>
        <w:pStyle w:val="BodyText"/>
        <w:spacing w:before="240"/>
        <w:ind w:left="568" w:right="137" w:firstLine="566"/>
        <w:jc w:val="both"/>
      </w:pPr>
      <w:r>
        <w:rPr/>
        <w:t>Hasil uji normalitas setelah penanganan outlier pada tabel 5 di atas masih menunjukkan nilai </w:t>
      </w:r>
      <w:r>
        <w:rPr>
          <w:i/>
        </w:rPr>
        <w:t>Asymp. Sig. </w:t>
      </w:r>
      <w:r>
        <w:rPr/>
        <w:t>(2-tailed) sebesar 0,000 ( </w:t>
      </w:r>
      <w:r>
        <w:rPr>
          <w:rFonts w:ascii="Cambria Math" w:hAnsi="Cambria Math"/>
        </w:rPr>
        <w:t>≤</w:t>
      </w:r>
      <w:r>
        <w:rPr>
          <w:rFonts w:ascii="Cambria Math" w:hAnsi="Cambria Math"/>
          <w:spacing w:val="40"/>
        </w:rPr>
        <w:t> </w:t>
      </w:r>
      <w:r>
        <w:rPr/>
        <w:t>0,05), sehingga residual belum berdistribusi normal. Oleh karena itu, langkah pengujian selanjutnya dilakukan dengan metode </w:t>
      </w:r>
      <w:r>
        <w:rPr>
          <w:i/>
        </w:rPr>
        <w:t>bootstrapping </w:t>
      </w:r>
      <w:r>
        <w:rPr/>
        <w:t>agar estimasi parameter dan pengujian signifikansi tetap robust meskipun asumsi normalitas tidak sepenuhnya </w:t>
      </w:r>
      <w:r>
        <w:rPr>
          <w:spacing w:val="-2"/>
        </w:rPr>
        <w:t>terpenuhi.</w:t>
      </w:r>
    </w:p>
    <w:p>
      <w:pPr>
        <w:pStyle w:val="Heading2"/>
        <w:spacing w:before="240"/>
        <w:ind w:left="480" w:right="4165"/>
        <w:jc w:val="center"/>
      </w:pPr>
      <w:bookmarkStart w:name="Uji Analisis Regresi Linear Berganda" w:id="39"/>
      <w:bookmarkEnd w:id="39"/>
      <w:r>
        <w:rPr>
          <w:b w:val="0"/>
        </w:rPr>
      </w:r>
      <w:r>
        <w:rPr/>
        <w:t>Uji</w:t>
      </w:r>
      <w:r>
        <w:rPr>
          <w:spacing w:val="-17"/>
        </w:rPr>
        <w:t> </w:t>
      </w:r>
      <w:r>
        <w:rPr/>
        <w:t>Analisis</w:t>
      </w:r>
      <w:r>
        <w:rPr>
          <w:spacing w:val="-11"/>
        </w:rPr>
        <w:t> </w:t>
      </w:r>
      <w:r>
        <w:rPr/>
        <w:t>Regresi</w:t>
      </w:r>
      <w:r>
        <w:rPr>
          <w:spacing w:val="-4"/>
        </w:rPr>
        <w:t> </w:t>
      </w:r>
      <w:r>
        <w:rPr/>
        <w:t>Linear</w:t>
      </w:r>
      <w:r>
        <w:rPr>
          <w:spacing w:val="-8"/>
        </w:rPr>
        <w:t> </w:t>
      </w:r>
      <w:r>
        <w:rPr>
          <w:spacing w:val="-2"/>
        </w:rPr>
        <w:t>Berganda</w:t>
      </w:r>
    </w:p>
    <w:p>
      <w:pPr>
        <w:spacing w:before="0" w:after="40"/>
        <w:ind w:left="426" w:right="0" w:firstLine="0"/>
        <w:jc w:val="center"/>
        <w:rPr>
          <w:b/>
          <w:sz w:val="24"/>
        </w:rPr>
      </w:pPr>
      <w:r>
        <w:rPr>
          <w:b/>
          <w:sz w:val="24"/>
        </w:rPr>
        <w:t>Tabel</w:t>
      </w:r>
      <w:r>
        <w:rPr>
          <w:b/>
          <w:spacing w:val="-12"/>
          <w:sz w:val="24"/>
        </w:rPr>
        <w:t> </w:t>
      </w:r>
      <w:r>
        <w:rPr>
          <w:b/>
          <w:sz w:val="24"/>
        </w:rPr>
        <w:t>6.</w:t>
      </w:r>
      <w:r>
        <w:rPr>
          <w:b/>
          <w:spacing w:val="-9"/>
          <w:sz w:val="24"/>
        </w:rPr>
        <w:t> </w:t>
      </w:r>
      <w:r>
        <w:rPr>
          <w:b/>
          <w:sz w:val="24"/>
        </w:rPr>
        <w:t>Uji</w:t>
      </w:r>
      <w:r>
        <w:rPr>
          <w:b/>
          <w:spacing w:val="-6"/>
          <w:sz w:val="24"/>
        </w:rPr>
        <w:t> </w:t>
      </w:r>
      <w:r>
        <w:rPr>
          <w:b/>
          <w:sz w:val="24"/>
        </w:rPr>
        <w:t>Regresi</w:t>
      </w:r>
      <w:r>
        <w:rPr>
          <w:b/>
          <w:spacing w:val="-8"/>
          <w:sz w:val="24"/>
        </w:rPr>
        <w:t> </w:t>
      </w:r>
      <w:r>
        <w:rPr>
          <w:b/>
          <w:sz w:val="24"/>
        </w:rPr>
        <w:t>Linear</w:t>
      </w:r>
      <w:r>
        <w:rPr>
          <w:b/>
          <w:spacing w:val="-12"/>
          <w:sz w:val="24"/>
        </w:rPr>
        <w:t> </w:t>
      </w:r>
      <w:r>
        <w:rPr>
          <w:b/>
          <w:spacing w:val="-2"/>
          <w:sz w:val="24"/>
        </w:rPr>
        <w:t>Berganda</w:t>
      </w:r>
    </w:p>
    <w:tbl>
      <w:tblPr>
        <w:tblW w:w="0" w:type="auto"/>
        <w:jc w:val="left"/>
        <w:tblInd w:w="1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0"/>
        <w:gridCol w:w="1600"/>
        <w:gridCol w:w="1958"/>
        <w:gridCol w:w="2155"/>
      </w:tblGrid>
      <w:tr>
        <w:trPr>
          <w:trHeight w:val="263" w:hRule="atLeast"/>
        </w:trPr>
        <w:tc>
          <w:tcPr>
            <w:tcW w:w="870" w:type="dxa"/>
            <w:tcBorders>
              <w:top w:val="single" w:sz="4" w:space="0" w:color="000000"/>
            </w:tcBorders>
          </w:tcPr>
          <w:p>
            <w:pPr>
              <w:pStyle w:val="TableParagraph"/>
              <w:spacing w:line="244" w:lineRule="exact"/>
              <w:ind w:left="108"/>
              <w:rPr>
                <w:b/>
                <w:sz w:val="24"/>
              </w:rPr>
            </w:pPr>
            <w:r>
              <w:rPr>
                <w:b/>
                <w:spacing w:val="-2"/>
                <w:sz w:val="24"/>
              </w:rPr>
              <w:t>Model</w:t>
            </w:r>
          </w:p>
        </w:tc>
        <w:tc>
          <w:tcPr>
            <w:tcW w:w="1600" w:type="dxa"/>
            <w:tcBorders>
              <w:top w:val="single" w:sz="4" w:space="0" w:color="000000"/>
            </w:tcBorders>
          </w:tcPr>
          <w:p>
            <w:pPr>
              <w:pStyle w:val="TableParagraph"/>
              <w:rPr>
                <w:sz w:val="18"/>
              </w:rPr>
            </w:pPr>
          </w:p>
        </w:tc>
        <w:tc>
          <w:tcPr>
            <w:tcW w:w="1958" w:type="dxa"/>
            <w:tcBorders>
              <w:top w:val="single" w:sz="4" w:space="0" w:color="000000"/>
            </w:tcBorders>
          </w:tcPr>
          <w:p>
            <w:pPr>
              <w:pStyle w:val="TableParagraph"/>
              <w:spacing w:line="244" w:lineRule="exact"/>
              <w:ind w:left="212"/>
              <w:jc w:val="center"/>
              <w:rPr>
                <w:b/>
                <w:sz w:val="24"/>
              </w:rPr>
            </w:pPr>
            <w:r>
              <w:rPr>
                <w:b/>
                <w:spacing w:val="-10"/>
                <w:sz w:val="24"/>
              </w:rPr>
              <w:t>B</w:t>
            </w:r>
          </w:p>
        </w:tc>
        <w:tc>
          <w:tcPr>
            <w:tcW w:w="2155" w:type="dxa"/>
            <w:tcBorders>
              <w:top w:val="single" w:sz="4" w:space="0" w:color="000000"/>
            </w:tcBorders>
          </w:tcPr>
          <w:p>
            <w:pPr>
              <w:pStyle w:val="TableParagraph"/>
              <w:spacing w:line="244" w:lineRule="exact"/>
              <w:ind w:left="1" w:right="237"/>
              <w:jc w:val="center"/>
              <w:rPr>
                <w:b/>
                <w:sz w:val="24"/>
              </w:rPr>
            </w:pPr>
            <w:r>
              <w:rPr>
                <w:b/>
                <w:sz w:val="24"/>
              </w:rPr>
              <w:t>Std.</w:t>
            </w:r>
            <w:r>
              <w:rPr>
                <w:b/>
                <w:spacing w:val="-4"/>
                <w:sz w:val="24"/>
              </w:rPr>
              <w:t> </w:t>
            </w:r>
            <w:r>
              <w:rPr>
                <w:b/>
                <w:spacing w:val="-2"/>
                <w:sz w:val="24"/>
              </w:rPr>
              <w:t>Error</w:t>
            </w:r>
          </w:p>
        </w:tc>
      </w:tr>
      <w:tr>
        <w:trPr>
          <w:trHeight w:val="287" w:hRule="atLeast"/>
        </w:trPr>
        <w:tc>
          <w:tcPr>
            <w:tcW w:w="870" w:type="dxa"/>
          </w:tcPr>
          <w:p>
            <w:pPr>
              <w:pStyle w:val="TableParagraph"/>
              <w:rPr>
                <w:sz w:val="20"/>
              </w:rPr>
            </w:pPr>
          </w:p>
        </w:tc>
        <w:tc>
          <w:tcPr>
            <w:tcW w:w="1600" w:type="dxa"/>
            <w:tcBorders>
              <w:bottom w:val="single" w:sz="4" w:space="0" w:color="000000"/>
            </w:tcBorders>
          </w:tcPr>
          <w:p>
            <w:pPr>
              <w:pStyle w:val="TableParagraph"/>
              <w:spacing w:line="267" w:lineRule="exact"/>
              <w:ind w:left="107"/>
              <w:rPr>
                <w:i/>
                <w:sz w:val="24"/>
              </w:rPr>
            </w:pPr>
            <w:r>
              <w:rPr>
                <w:i/>
                <w:spacing w:val="-2"/>
                <w:sz w:val="24"/>
              </w:rPr>
              <w:t>Constant</w:t>
            </w:r>
          </w:p>
        </w:tc>
        <w:tc>
          <w:tcPr>
            <w:tcW w:w="1958" w:type="dxa"/>
            <w:tcBorders>
              <w:bottom w:val="single" w:sz="4" w:space="0" w:color="000000"/>
            </w:tcBorders>
          </w:tcPr>
          <w:p>
            <w:pPr>
              <w:pStyle w:val="TableParagraph"/>
              <w:spacing w:line="267" w:lineRule="exact"/>
              <w:ind w:left="212" w:right="6"/>
              <w:jc w:val="center"/>
              <w:rPr>
                <w:sz w:val="24"/>
              </w:rPr>
            </w:pPr>
            <w:r>
              <w:rPr>
                <w:spacing w:val="-2"/>
                <w:sz w:val="24"/>
              </w:rPr>
              <w:t>1206,859</w:t>
            </w:r>
          </w:p>
        </w:tc>
        <w:tc>
          <w:tcPr>
            <w:tcW w:w="2155" w:type="dxa"/>
            <w:tcBorders>
              <w:bottom w:val="single" w:sz="4" w:space="0" w:color="000000"/>
            </w:tcBorders>
          </w:tcPr>
          <w:p>
            <w:pPr>
              <w:pStyle w:val="TableParagraph"/>
              <w:spacing w:line="267" w:lineRule="exact"/>
              <w:ind w:right="237"/>
              <w:jc w:val="center"/>
              <w:rPr>
                <w:sz w:val="24"/>
              </w:rPr>
            </w:pPr>
            <w:r>
              <w:rPr>
                <w:spacing w:val="-2"/>
                <w:sz w:val="24"/>
              </w:rPr>
              <w:t>293,038</w:t>
            </w:r>
          </w:p>
        </w:tc>
      </w:tr>
    </w:tbl>
    <w:p>
      <w:pPr>
        <w:pStyle w:val="BodyText"/>
        <w:tabs>
          <w:tab w:pos="2239" w:val="left" w:leader="none"/>
          <w:tab w:pos="4477" w:val="left" w:leader="none"/>
          <w:tab w:pos="6306" w:val="left" w:leader="none"/>
          <w:tab w:pos="7951" w:val="left" w:leader="none"/>
        </w:tabs>
        <w:ind w:left="1746"/>
      </w:pPr>
      <w:r>
        <w:rPr>
          <w:spacing w:val="-10"/>
        </w:rPr>
        <w:t>1</w:t>
      </w:r>
      <w:r>
        <w:rPr/>
        <w:tab/>
      </w:r>
      <w:r>
        <w:rPr>
          <w:spacing w:val="40"/>
          <w:u w:val="single"/>
        </w:rPr>
        <w:t> </w:t>
      </w:r>
      <w:r>
        <w:rPr>
          <w:u w:val="single"/>
        </w:rPr>
        <w:t>ROA (X1)</w:t>
        <w:tab/>
      </w:r>
      <w:r>
        <w:rPr>
          <w:spacing w:val="-2"/>
          <w:u w:val="single"/>
        </w:rPr>
        <w:t>8114,918</w:t>
      </w:r>
      <w:r>
        <w:rPr>
          <w:u w:val="single"/>
        </w:rPr>
        <w:tab/>
      </w:r>
      <w:r>
        <w:rPr>
          <w:spacing w:val="-2"/>
          <w:u w:val="single"/>
        </w:rPr>
        <w:t>5795,674</w:t>
      </w:r>
      <w:r>
        <w:rPr>
          <w:u w:val="single"/>
        </w:rPr>
        <w:tab/>
      </w:r>
    </w:p>
    <w:p>
      <w:pPr>
        <w:pStyle w:val="BodyText"/>
        <w:tabs>
          <w:tab w:pos="4551" w:val="left" w:leader="none"/>
          <w:tab w:pos="6426" w:val="left" w:leader="none"/>
        </w:tabs>
        <w:ind w:left="2348"/>
      </w:pPr>
      <w:r>
        <w:rPr/>
        <w:t>CR</w:t>
      </w:r>
      <w:r>
        <w:rPr>
          <w:spacing w:val="-2"/>
        </w:rPr>
        <w:t> </w:t>
      </w:r>
      <w:r>
        <w:rPr>
          <w:spacing w:val="-4"/>
        </w:rPr>
        <w:t>(X2)</w:t>
      </w:r>
      <w:r>
        <w:rPr/>
        <w:tab/>
      </w:r>
      <w:r>
        <w:rPr>
          <w:spacing w:val="-2"/>
        </w:rPr>
        <w:t>-79,890</w:t>
      </w:r>
      <w:r>
        <w:rPr/>
        <w:tab/>
      </w:r>
      <w:r>
        <w:rPr>
          <w:spacing w:val="-2"/>
        </w:rPr>
        <w:t>41,826</w:t>
      </w:r>
    </w:p>
    <w:p>
      <w:pPr>
        <w:pStyle w:val="BodyText"/>
        <w:spacing w:after="0"/>
        <w:sectPr>
          <w:headerReference w:type="default" r:id="rId13"/>
          <w:headerReference w:type="even" r:id="rId14"/>
          <w:pgSz w:w="11910" w:h="16840"/>
          <w:pgMar w:header="795" w:footer="0" w:top="2480" w:bottom="280" w:left="1700" w:right="1559"/>
          <w:pgNumType w:start="25"/>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
        <w:rPr>
          <w:sz w:val="20"/>
        </w:rPr>
      </w:pPr>
    </w:p>
    <w:tbl>
      <w:tblPr>
        <w:tblW w:w="0" w:type="auto"/>
        <w:jc w:val="left"/>
        <w:tblInd w:w="1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0"/>
        <w:gridCol w:w="2073"/>
        <w:gridCol w:w="1568"/>
        <w:gridCol w:w="2069"/>
      </w:tblGrid>
      <w:tr>
        <w:trPr>
          <w:trHeight w:val="275" w:hRule="atLeast"/>
        </w:trPr>
        <w:tc>
          <w:tcPr>
            <w:tcW w:w="870" w:type="dxa"/>
            <w:tcBorders>
              <w:top w:val="single" w:sz="4" w:space="0" w:color="000000"/>
            </w:tcBorders>
          </w:tcPr>
          <w:p>
            <w:pPr>
              <w:pStyle w:val="TableParagraph"/>
              <w:rPr>
                <w:sz w:val="20"/>
              </w:rPr>
            </w:pPr>
          </w:p>
        </w:tc>
        <w:tc>
          <w:tcPr>
            <w:tcW w:w="2073" w:type="dxa"/>
            <w:tcBorders>
              <w:top w:val="single" w:sz="4" w:space="0" w:color="000000"/>
              <w:bottom w:val="single" w:sz="4" w:space="0" w:color="000000"/>
            </w:tcBorders>
          </w:tcPr>
          <w:p>
            <w:pPr>
              <w:pStyle w:val="TableParagraph"/>
              <w:spacing w:line="255" w:lineRule="exact"/>
              <w:ind w:left="107"/>
              <w:rPr>
                <w:sz w:val="24"/>
              </w:rPr>
            </w:pPr>
            <w:r>
              <w:rPr>
                <w:sz w:val="24"/>
              </w:rPr>
              <w:t>DER</w:t>
            </w:r>
            <w:r>
              <w:rPr>
                <w:spacing w:val="-4"/>
                <w:sz w:val="24"/>
              </w:rPr>
              <w:t> (X3)</w:t>
            </w:r>
          </w:p>
        </w:tc>
        <w:tc>
          <w:tcPr>
            <w:tcW w:w="1568" w:type="dxa"/>
            <w:tcBorders>
              <w:top w:val="single" w:sz="4" w:space="0" w:color="000000"/>
              <w:bottom w:val="single" w:sz="4" w:space="0" w:color="000000"/>
            </w:tcBorders>
          </w:tcPr>
          <w:p>
            <w:pPr>
              <w:pStyle w:val="TableParagraph"/>
              <w:spacing w:line="255" w:lineRule="exact"/>
              <w:ind w:left="217"/>
              <w:rPr>
                <w:sz w:val="24"/>
              </w:rPr>
            </w:pPr>
            <w:r>
              <w:rPr>
                <w:spacing w:val="-2"/>
                <w:sz w:val="24"/>
              </w:rPr>
              <w:t>214,454</w:t>
            </w:r>
          </w:p>
        </w:tc>
        <w:tc>
          <w:tcPr>
            <w:tcW w:w="2069" w:type="dxa"/>
            <w:tcBorders>
              <w:top w:val="single" w:sz="4" w:space="0" w:color="000000"/>
              <w:bottom w:val="single" w:sz="4" w:space="0" w:color="000000"/>
            </w:tcBorders>
          </w:tcPr>
          <w:p>
            <w:pPr>
              <w:pStyle w:val="TableParagraph"/>
              <w:spacing w:line="255" w:lineRule="exact"/>
              <w:ind w:left="543"/>
              <w:rPr>
                <w:sz w:val="24"/>
              </w:rPr>
            </w:pPr>
            <w:r>
              <w:rPr>
                <w:spacing w:val="-2"/>
                <w:sz w:val="24"/>
              </w:rPr>
              <w:t>74,135</w:t>
            </w:r>
          </w:p>
        </w:tc>
      </w:tr>
      <w:tr>
        <w:trPr>
          <w:trHeight w:val="544" w:hRule="atLeast"/>
        </w:trPr>
        <w:tc>
          <w:tcPr>
            <w:tcW w:w="870" w:type="dxa"/>
          </w:tcPr>
          <w:p>
            <w:pPr>
              <w:pStyle w:val="TableParagraph"/>
              <w:rPr>
                <w:sz w:val="22"/>
              </w:rPr>
            </w:pPr>
          </w:p>
        </w:tc>
        <w:tc>
          <w:tcPr>
            <w:tcW w:w="2073" w:type="dxa"/>
            <w:tcBorders>
              <w:top w:val="single" w:sz="4" w:space="0" w:color="000000"/>
            </w:tcBorders>
          </w:tcPr>
          <w:p>
            <w:pPr>
              <w:pStyle w:val="TableParagraph"/>
              <w:spacing w:line="274" w:lineRule="exact"/>
              <w:ind w:left="107"/>
              <w:rPr>
                <w:sz w:val="24"/>
              </w:rPr>
            </w:pPr>
            <w:r>
              <w:rPr>
                <w:spacing w:val="-6"/>
                <w:sz w:val="24"/>
              </w:rPr>
              <w:t>PERTUMBUHAN </w:t>
            </w:r>
            <w:r>
              <w:rPr>
                <w:sz w:val="24"/>
              </w:rPr>
              <w:t>ASET (X4)</w:t>
            </w:r>
          </w:p>
        </w:tc>
        <w:tc>
          <w:tcPr>
            <w:tcW w:w="1568" w:type="dxa"/>
            <w:tcBorders>
              <w:top w:val="single" w:sz="4" w:space="0" w:color="000000"/>
            </w:tcBorders>
          </w:tcPr>
          <w:p>
            <w:pPr>
              <w:pStyle w:val="TableParagraph"/>
              <w:spacing w:line="271" w:lineRule="exact"/>
              <w:ind w:left="177"/>
              <w:rPr>
                <w:sz w:val="24"/>
              </w:rPr>
            </w:pPr>
            <w:r>
              <w:rPr>
                <w:spacing w:val="-2"/>
                <w:sz w:val="24"/>
              </w:rPr>
              <w:t>-700,284</w:t>
            </w:r>
          </w:p>
        </w:tc>
        <w:tc>
          <w:tcPr>
            <w:tcW w:w="2069" w:type="dxa"/>
            <w:tcBorders>
              <w:top w:val="single" w:sz="4" w:space="0" w:color="000000"/>
            </w:tcBorders>
          </w:tcPr>
          <w:p>
            <w:pPr>
              <w:pStyle w:val="TableParagraph"/>
              <w:spacing w:line="271" w:lineRule="exact"/>
              <w:ind w:left="543"/>
              <w:rPr>
                <w:sz w:val="24"/>
              </w:rPr>
            </w:pPr>
            <w:r>
              <w:rPr>
                <w:spacing w:val="-2"/>
                <w:sz w:val="24"/>
              </w:rPr>
              <w:t>47,428</w:t>
            </w:r>
          </w:p>
        </w:tc>
      </w:tr>
    </w:tbl>
    <w:p>
      <w:pPr>
        <w:pStyle w:val="BodyText"/>
      </w:pPr>
    </w:p>
    <w:p>
      <w:pPr>
        <w:pStyle w:val="BodyText"/>
      </w:pPr>
    </w:p>
    <w:p>
      <w:pPr>
        <w:pStyle w:val="BodyText"/>
        <w:spacing w:before="252"/>
      </w:pPr>
    </w:p>
    <w:p>
      <w:pPr>
        <w:pStyle w:val="BodyText"/>
        <w:ind w:left="1276"/>
      </w:pPr>
      <w:r>
        <w:rPr/>
        <w:t>Sumber:</w:t>
      </w:r>
      <w:r>
        <w:rPr>
          <w:spacing w:val="-4"/>
        </w:rPr>
        <w:t> </w:t>
      </w:r>
      <w:r>
        <w:rPr/>
        <w:t>Data</w:t>
      </w:r>
      <w:r>
        <w:rPr>
          <w:spacing w:val="-3"/>
        </w:rPr>
        <w:t> </w:t>
      </w:r>
      <w:r>
        <w:rPr/>
        <w:t>diolah,</w:t>
      </w:r>
      <w:r>
        <w:rPr>
          <w:spacing w:val="-1"/>
        </w:rPr>
        <w:t> </w:t>
      </w:r>
      <w:r>
        <w:rPr>
          <w:spacing w:val="-4"/>
        </w:rPr>
        <w:t>2025.</w:t>
      </w:r>
    </w:p>
    <w:p>
      <w:pPr>
        <w:spacing w:before="274"/>
        <w:ind w:left="4223" w:right="0" w:hanging="3622"/>
        <w:jc w:val="left"/>
        <w:rPr>
          <w:b/>
          <w:position w:val="2"/>
          <w:sz w:val="24"/>
        </w:rPr>
      </w:pPr>
      <w:r>
        <w:rPr>
          <w:b/>
          <w:sz w:val="24"/>
        </w:rPr>
        <w:t>Nilai</w:t>
      </w:r>
      <w:r>
        <w:rPr>
          <w:b/>
          <w:spacing w:val="-9"/>
          <w:sz w:val="24"/>
        </w:rPr>
        <w:t> </w:t>
      </w:r>
      <w:r>
        <w:rPr>
          <w:b/>
          <w:sz w:val="24"/>
        </w:rPr>
        <w:t>Perusahaan</w:t>
      </w:r>
      <w:r>
        <w:rPr>
          <w:b/>
          <w:spacing w:val="-8"/>
          <w:sz w:val="24"/>
        </w:rPr>
        <w:t> </w:t>
      </w:r>
      <w:r>
        <w:rPr>
          <w:b/>
          <w:sz w:val="24"/>
        </w:rPr>
        <w:t>=</w:t>
      </w:r>
      <w:r>
        <w:rPr>
          <w:b/>
          <w:spacing w:val="-9"/>
          <w:sz w:val="24"/>
        </w:rPr>
        <w:t> </w:t>
      </w:r>
      <w:r>
        <w:rPr>
          <w:b/>
          <w:sz w:val="24"/>
        </w:rPr>
        <w:t>1206,859</w:t>
      </w:r>
      <w:r>
        <w:rPr>
          <w:b/>
          <w:spacing w:val="-7"/>
          <w:sz w:val="24"/>
        </w:rPr>
        <w:t> </w:t>
      </w:r>
      <w:r>
        <w:rPr>
          <w:b/>
          <w:sz w:val="24"/>
        </w:rPr>
        <w:t>+</w:t>
      </w:r>
      <w:r>
        <w:rPr>
          <w:b/>
          <w:spacing w:val="-7"/>
          <w:sz w:val="24"/>
        </w:rPr>
        <w:t> </w:t>
      </w:r>
      <w:r>
        <w:rPr>
          <w:b/>
          <w:sz w:val="24"/>
        </w:rPr>
        <w:t>8114,918</w:t>
      </w:r>
      <w:r>
        <w:rPr>
          <w:b/>
          <w:spacing w:val="-7"/>
          <w:sz w:val="24"/>
        </w:rPr>
        <w:t> </w:t>
      </w:r>
      <w:r>
        <w:rPr>
          <w:b/>
          <w:sz w:val="24"/>
        </w:rPr>
        <w:t>X</w:t>
      </w:r>
      <w:r>
        <w:rPr>
          <w:b/>
          <w:sz w:val="24"/>
          <w:vertAlign w:val="subscript"/>
        </w:rPr>
        <w:t>1</w:t>
      </w:r>
      <w:r>
        <w:rPr>
          <w:b/>
          <w:spacing w:val="-9"/>
          <w:sz w:val="24"/>
          <w:vertAlign w:val="baseline"/>
        </w:rPr>
        <w:t> </w:t>
      </w:r>
      <w:r>
        <w:rPr>
          <w:b/>
          <w:sz w:val="24"/>
          <w:vertAlign w:val="baseline"/>
        </w:rPr>
        <w:t>–</w:t>
      </w:r>
      <w:r>
        <w:rPr>
          <w:b/>
          <w:spacing w:val="-7"/>
          <w:sz w:val="24"/>
          <w:vertAlign w:val="baseline"/>
        </w:rPr>
        <w:t> </w:t>
      </w:r>
      <w:r>
        <w:rPr>
          <w:b/>
          <w:sz w:val="24"/>
          <w:vertAlign w:val="baseline"/>
        </w:rPr>
        <w:t>79,890</w:t>
      </w:r>
      <w:r>
        <w:rPr>
          <w:b/>
          <w:spacing w:val="-7"/>
          <w:sz w:val="24"/>
          <w:vertAlign w:val="baseline"/>
        </w:rPr>
        <w:t> </w:t>
      </w:r>
      <w:r>
        <w:rPr>
          <w:b/>
          <w:sz w:val="24"/>
          <w:vertAlign w:val="baseline"/>
        </w:rPr>
        <w:t>X</w:t>
      </w:r>
      <w:r>
        <w:rPr>
          <w:b/>
          <w:sz w:val="24"/>
          <w:vertAlign w:val="subscript"/>
        </w:rPr>
        <w:t>2</w:t>
      </w:r>
      <w:r>
        <w:rPr>
          <w:b/>
          <w:spacing w:val="-12"/>
          <w:sz w:val="24"/>
          <w:vertAlign w:val="baseline"/>
        </w:rPr>
        <w:t> </w:t>
      </w:r>
      <w:r>
        <w:rPr>
          <w:b/>
          <w:sz w:val="24"/>
          <w:vertAlign w:val="baseline"/>
        </w:rPr>
        <w:t>+</w:t>
      </w:r>
      <w:r>
        <w:rPr>
          <w:b/>
          <w:spacing w:val="-4"/>
          <w:sz w:val="24"/>
          <w:vertAlign w:val="baseline"/>
        </w:rPr>
        <w:t> </w:t>
      </w:r>
      <w:r>
        <w:rPr>
          <w:b/>
          <w:sz w:val="24"/>
          <w:vertAlign w:val="baseline"/>
        </w:rPr>
        <w:t>214,454</w:t>
      </w:r>
      <w:r>
        <w:rPr>
          <w:b/>
          <w:spacing w:val="-7"/>
          <w:sz w:val="24"/>
          <w:vertAlign w:val="baseline"/>
        </w:rPr>
        <w:t> </w:t>
      </w:r>
      <w:r>
        <w:rPr>
          <w:b/>
          <w:sz w:val="24"/>
          <w:vertAlign w:val="baseline"/>
        </w:rPr>
        <w:t>X</w:t>
      </w:r>
      <w:r>
        <w:rPr>
          <w:b/>
          <w:sz w:val="24"/>
          <w:vertAlign w:val="subscript"/>
        </w:rPr>
        <w:t>3</w:t>
      </w:r>
      <w:r>
        <w:rPr>
          <w:b/>
          <w:spacing w:val="-9"/>
          <w:sz w:val="24"/>
          <w:vertAlign w:val="baseline"/>
        </w:rPr>
        <w:t> </w:t>
      </w:r>
      <w:r>
        <w:rPr>
          <w:b/>
          <w:sz w:val="24"/>
          <w:vertAlign w:val="baseline"/>
        </w:rPr>
        <w:t>-</w:t>
      </w:r>
      <w:r>
        <w:rPr>
          <w:b/>
          <w:spacing w:val="-8"/>
          <w:sz w:val="24"/>
          <w:vertAlign w:val="baseline"/>
        </w:rPr>
        <w:t> </w:t>
      </w:r>
      <w:r>
        <w:rPr>
          <w:b/>
          <w:sz w:val="24"/>
          <w:vertAlign w:val="baseline"/>
        </w:rPr>
        <w:t>700,284 </w:t>
      </w:r>
      <w:r>
        <w:rPr>
          <w:b/>
          <w:position w:val="2"/>
          <w:sz w:val="24"/>
          <w:vertAlign w:val="baseline"/>
        </w:rPr>
        <w:t>X</w:t>
      </w:r>
      <w:r>
        <w:rPr>
          <w:b/>
          <w:sz w:val="15"/>
          <w:vertAlign w:val="baseline"/>
        </w:rPr>
        <w:t>4</w:t>
      </w:r>
      <w:r>
        <w:rPr>
          <w:b/>
          <w:spacing w:val="40"/>
          <w:sz w:val="15"/>
          <w:vertAlign w:val="baseline"/>
        </w:rPr>
        <w:t> </w:t>
      </w:r>
      <w:r>
        <w:rPr>
          <w:b/>
          <w:position w:val="2"/>
          <w:sz w:val="24"/>
          <w:vertAlign w:val="baseline"/>
        </w:rPr>
        <w:t>+ e</w:t>
      </w:r>
    </w:p>
    <w:p>
      <w:pPr>
        <w:pStyle w:val="BodyText"/>
        <w:spacing w:before="242"/>
        <w:ind w:left="568" w:right="138" w:firstLine="566"/>
        <w:jc w:val="both"/>
      </w:pPr>
      <w:r>
        <w:rPr/>
        <w:t>Nilai konstanta sebesar 1206,859 menunjukkan nilai perusahaan ketika seluruh variabel independen bernilai nol. Koefisien ROA dan DER bertanda positif, yang mengindikasikan bahwa peningkatan profitabilitas dan solvabilitas cenderung diikuti peningkatan nilai perusahaan. Sebaliknya, koefisien CR dan pertumbuhan aset bertanda negatif, yang menunjukkan bahwa peningkatan likuiditas dan pertumbuhan aset cenderung diikuti penurunan nilai perusahaan.</w:t>
      </w:r>
    </w:p>
    <w:p>
      <w:pPr>
        <w:pStyle w:val="BodyText"/>
        <w:ind w:left="568" w:right="140" w:firstLine="566"/>
        <w:jc w:val="both"/>
      </w:pPr>
      <w:r>
        <w:rPr/>
        <w:t>Secara umum, arah koefisien menunjukkan bahwa pasar lebih merespons struktur pendanaan dan kemampuan menghasilkan laba dibandingkan tingkat likuiditas</w:t>
      </w:r>
      <w:r>
        <w:rPr>
          <w:spacing w:val="-5"/>
        </w:rPr>
        <w:t> </w:t>
      </w:r>
      <w:r>
        <w:rPr/>
        <w:t>dan</w:t>
      </w:r>
      <w:r>
        <w:rPr>
          <w:spacing w:val="-3"/>
        </w:rPr>
        <w:t> </w:t>
      </w:r>
      <w:r>
        <w:rPr/>
        <w:t>pertumbuhan</w:t>
      </w:r>
      <w:r>
        <w:rPr>
          <w:spacing w:val="-3"/>
        </w:rPr>
        <w:t> </w:t>
      </w:r>
      <w:r>
        <w:rPr/>
        <w:t>aset,</w:t>
      </w:r>
      <w:r>
        <w:rPr>
          <w:spacing w:val="-3"/>
        </w:rPr>
        <w:t> </w:t>
      </w:r>
      <w:r>
        <w:rPr/>
        <w:t>meskipun</w:t>
      </w:r>
      <w:r>
        <w:rPr>
          <w:spacing w:val="-3"/>
        </w:rPr>
        <w:t> </w:t>
      </w:r>
      <w:r>
        <w:rPr/>
        <w:t>tidak</w:t>
      </w:r>
      <w:r>
        <w:rPr>
          <w:spacing w:val="-8"/>
        </w:rPr>
        <w:t> </w:t>
      </w:r>
      <w:r>
        <w:rPr/>
        <w:t>seluruh</w:t>
      </w:r>
      <w:r>
        <w:rPr>
          <w:spacing w:val="-1"/>
        </w:rPr>
        <w:t> </w:t>
      </w:r>
      <w:r>
        <w:rPr/>
        <w:t>variabel</w:t>
      </w:r>
      <w:r>
        <w:rPr>
          <w:spacing w:val="-5"/>
        </w:rPr>
        <w:t> </w:t>
      </w:r>
      <w:r>
        <w:rPr/>
        <w:t>signifikan</w:t>
      </w:r>
      <w:r>
        <w:rPr>
          <w:spacing w:val="-1"/>
        </w:rPr>
        <w:t> </w:t>
      </w:r>
      <w:r>
        <w:rPr/>
        <w:t>secara </w:t>
      </w:r>
      <w:r>
        <w:rPr>
          <w:spacing w:val="-2"/>
        </w:rPr>
        <w:t>statistik.</w:t>
      </w:r>
    </w:p>
    <w:p>
      <w:pPr>
        <w:spacing w:before="240"/>
        <w:ind w:left="568" w:right="0" w:firstLine="0"/>
        <w:jc w:val="both"/>
        <w:rPr>
          <w:b/>
          <w:i/>
          <w:sz w:val="24"/>
        </w:rPr>
      </w:pPr>
      <w:r>
        <w:rPr>
          <w:b/>
          <w:sz w:val="24"/>
        </w:rPr>
        <w:t>Hasil</w:t>
      </w:r>
      <w:r>
        <w:rPr>
          <w:b/>
          <w:spacing w:val="-9"/>
          <w:sz w:val="24"/>
        </w:rPr>
        <w:t> </w:t>
      </w:r>
      <w:r>
        <w:rPr>
          <w:b/>
          <w:sz w:val="24"/>
        </w:rPr>
        <w:t>Pengujian</w:t>
      </w:r>
      <w:r>
        <w:rPr>
          <w:b/>
          <w:spacing w:val="-6"/>
          <w:sz w:val="24"/>
        </w:rPr>
        <w:t> </w:t>
      </w:r>
      <w:r>
        <w:rPr>
          <w:b/>
          <w:sz w:val="24"/>
        </w:rPr>
        <w:t>Menggunakan</w:t>
      </w:r>
      <w:r>
        <w:rPr>
          <w:b/>
          <w:spacing w:val="-6"/>
          <w:sz w:val="24"/>
        </w:rPr>
        <w:t> </w:t>
      </w:r>
      <w:r>
        <w:rPr>
          <w:b/>
          <w:sz w:val="24"/>
        </w:rPr>
        <w:t>Metode</w:t>
      </w:r>
      <w:r>
        <w:rPr>
          <w:b/>
          <w:spacing w:val="-3"/>
          <w:sz w:val="24"/>
        </w:rPr>
        <w:t> </w:t>
      </w:r>
      <w:r>
        <w:rPr>
          <w:b/>
          <w:i/>
          <w:spacing w:val="-2"/>
          <w:sz w:val="24"/>
        </w:rPr>
        <w:t>Bootstrapping</w:t>
      </w:r>
    </w:p>
    <w:p>
      <w:pPr>
        <w:pStyle w:val="BodyText"/>
        <w:spacing w:line="259" w:lineRule="auto"/>
        <w:ind w:left="568" w:right="139" w:firstLine="720"/>
        <w:jc w:val="both"/>
      </w:pPr>
      <w:r>
        <w:rPr/>
        <w:t>Setelah melakukan uji normalitas baik uji normalitas awal, uji normalitas dengan transform dan uji normalitas dengan outlier tidak bisa menormalkan pendistribusian data, maka uji hipotesis dilakukan dengan metode </w:t>
      </w:r>
      <w:r>
        <w:rPr>
          <w:i/>
        </w:rPr>
        <w:t>bootstrapping</w:t>
      </w:r>
      <w:r>
        <w:rPr/>
        <w:t>.</w:t>
      </w:r>
    </w:p>
    <w:p>
      <w:pPr>
        <w:spacing w:before="236"/>
        <w:ind w:left="568" w:right="0" w:firstLine="720"/>
        <w:jc w:val="both"/>
        <w:rPr>
          <w:sz w:val="24"/>
        </w:rPr>
      </w:pPr>
      <w:r>
        <w:rPr>
          <w:sz w:val="24"/>
        </w:rPr>
        <w:t>Menurut</w:t>
      </w:r>
      <w:r>
        <w:rPr>
          <w:spacing w:val="72"/>
          <w:w w:val="150"/>
          <w:sz w:val="24"/>
        </w:rPr>
        <w:t> </w:t>
      </w:r>
      <w:r>
        <w:rPr>
          <w:sz w:val="24"/>
        </w:rPr>
        <w:t>Ghozali</w:t>
      </w:r>
      <w:r>
        <w:rPr>
          <w:spacing w:val="52"/>
          <w:sz w:val="24"/>
        </w:rPr>
        <w:t> </w:t>
      </w:r>
      <w:r>
        <w:rPr>
          <w:sz w:val="24"/>
        </w:rPr>
        <w:t>(2021)</w:t>
      </w:r>
      <w:r>
        <w:rPr>
          <w:spacing w:val="46"/>
          <w:sz w:val="24"/>
        </w:rPr>
        <w:t> </w:t>
      </w:r>
      <w:r>
        <w:rPr>
          <w:sz w:val="24"/>
        </w:rPr>
        <w:t>,</w:t>
      </w:r>
      <w:r>
        <w:rPr>
          <w:spacing w:val="51"/>
          <w:sz w:val="24"/>
        </w:rPr>
        <w:t> </w:t>
      </w:r>
      <w:r>
        <w:rPr>
          <w:i/>
          <w:sz w:val="24"/>
        </w:rPr>
        <w:t>bootstrapping</w:t>
      </w:r>
      <w:r>
        <w:rPr>
          <w:i/>
          <w:spacing w:val="47"/>
          <w:sz w:val="24"/>
        </w:rPr>
        <w:t> </w:t>
      </w:r>
      <w:r>
        <w:rPr>
          <w:sz w:val="24"/>
        </w:rPr>
        <w:t>adalah</w:t>
      </w:r>
      <w:r>
        <w:rPr>
          <w:spacing w:val="59"/>
          <w:sz w:val="24"/>
        </w:rPr>
        <w:t> </w:t>
      </w:r>
      <w:r>
        <w:rPr>
          <w:sz w:val="24"/>
        </w:rPr>
        <w:t>metode</w:t>
      </w:r>
      <w:r>
        <w:rPr>
          <w:spacing w:val="51"/>
          <w:sz w:val="24"/>
        </w:rPr>
        <w:t> </w:t>
      </w:r>
      <w:r>
        <w:rPr>
          <w:sz w:val="24"/>
        </w:rPr>
        <w:t>non-</w:t>
      </w:r>
      <w:r>
        <w:rPr>
          <w:spacing w:val="-2"/>
          <w:sz w:val="24"/>
        </w:rPr>
        <w:t>parametik</w:t>
      </w:r>
    </w:p>
    <w:p>
      <w:pPr>
        <w:pStyle w:val="BodyText"/>
        <w:spacing w:line="259" w:lineRule="auto" w:before="82"/>
        <w:ind w:left="568" w:right="134"/>
        <w:jc w:val="both"/>
      </w:pPr>
      <w:r>
        <w:rPr/>
        <w:t>yang</w:t>
      </w:r>
      <w:r>
        <w:rPr>
          <w:spacing w:val="-2"/>
        </w:rPr>
        <w:t> </w:t>
      </w:r>
      <w:r>
        <w:rPr/>
        <w:t>dapat</w:t>
      </w:r>
      <w:r>
        <w:rPr>
          <w:spacing w:val="-2"/>
        </w:rPr>
        <w:t> </w:t>
      </w:r>
      <w:r>
        <w:rPr/>
        <w:t>digunakan dalam</w:t>
      </w:r>
      <w:r>
        <w:rPr>
          <w:spacing w:val="-2"/>
        </w:rPr>
        <w:t> </w:t>
      </w:r>
      <w:r>
        <w:rPr/>
        <w:t>pengujian data</w:t>
      </w:r>
      <w:r>
        <w:rPr>
          <w:spacing w:val="-1"/>
        </w:rPr>
        <w:t> </w:t>
      </w:r>
      <w:r>
        <w:rPr/>
        <w:t>dengan ukuran sampel</w:t>
      </w:r>
      <w:r>
        <w:rPr>
          <w:spacing w:val="-2"/>
        </w:rPr>
        <w:t> </w:t>
      </w:r>
      <w:r>
        <w:rPr/>
        <w:t>kecil</w:t>
      </w:r>
      <w:r>
        <w:rPr>
          <w:spacing w:val="-2"/>
        </w:rPr>
        <w:t> </w:t>
      </w:r>
      <w:r>
        <w:rPr/>
        <w:t>dan tidak menggunakan</w:t>
      </w:r>
      <w:r>
        <w:rPr>
          <w:spacing w:val="-1"/>
        </w:rPr>
        <w:t> </w:t>
      </w:r>
      <w:r>
        <w:rPr/>
        <w:t>distribusi</w:t>
      </w:r>
      <w:r>
        <w:rPr>
          <w:spacing w:val="-4"/>
        </w:rPr>
        <w:t> </w:t>
      </w:r>
      <w:r>
        <w:rPr/>
        <w:t>variabel.</w:t>
      </w:r>
      <w:r>
        <w:rPr>
          <w:spacing w:val="-2"/>
        </w:rPr>
        <w:t> </w:t>
      </w:r>
      <w:r>
        <w:rPr/>
        <w:t>Selain</w:t>
      </w:r>
      <w:r>
        <w:rPr>
          <w:spacing w:val="-2"/>
        </w:rPr>
        <w:t> </w:t>
      </w:r>
      <w:r>
        <w:rPr/>
        <w:t>itu,</w:t>
      </w:r>
      <w:r>
        <w:rPr>
          <w:spacing w:val="-7"/>
        </w:rPr>
        <w:t> </w:t>
      </w:r>
      <w:r>
        <w:rPr/>
        <w:t>teknik</w:t>
      </w:r>
      <w:r>
        <w:rPr>
          <w:spacing w:val="-2"/>
        </w:rPr>
        <w:t> </w:t>
      </w:r>
      <w:r>
        <w:rPr/>
        <w:t>ini</w:t>
      </w:r>
      <w:r>
        <w:rPr>
          <w:spacing w:val="-2"/>
        </w:rPr>
        <w:t> </w:t>
      </w:r>
      <w:r>
        <w:rPr/>
        <w:t>juga</w:t>
      </w:r>
      <w:r>
        <w:rPr>
          <w:spacing w:val="-1"/>
        </w:rPr>
        <w:t> </w:t>
      </w:r>
      <w:r>
        <w:rPr/>
        <w:t>melakukan </w:t>
      </w:r>
      <w:r>
        <w:rPr>
          <w:i/>
        </w:rPr>
        <w:t>resampling </w:t>
      </w:r>
      <w:r>
        <w:rPr/>
        <w:t>sampai 1000 kali dalam pengujiannya.</w:t>
      </w:r>
    </w:p>
    <w:p>
      <w:pPr>
        <w:pStyle w:val="Heading2"/>
        <w:spacing w:before="157"/>
        <w:ind w:left="1967"/>
        <w:jc w:val="left"/>
        <w:rPr>
          <w:i/>
        </w:rPr>
      </w:pPr>
      <w:r>
        <w:rPr>
          <w:i/>
        </w:rPr>
        <mc:AlternateContent>
          <mc:Choice Requires="wps">
            <w:drawing>
              <wp:anchor distT="0" distB="0" distL="0" distR="0" allowOverlap="1" layoutInCell="1" locked="0" behindDoc="1" simplePos="0" relativeHeight="487593984">
                <wp:simplePos x="0" y="0"/>
                <wp:positionH relativeFrom="page">
                  <wp:posOffset>1376044</wp:posOffset>
                </wp:positionH>
                <wp:positionV relativeFrom="paragraph">
                  <wp:posOffset>298806</wp:posOffset>
                </wp:positionV>
                <wp:extent cx="495173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4951730" cy="1270"/>
                        </a:xfrm>
                        <a:custGeom>
                          <a:avLst/>
                          <a:gdLst/>
                          <a:ahLst/>
                          <a:cxnLst/>
                          <a:rect l="l" t="t" r="r" b="b"/>
                          <a:pathLst>
                            <a:path w="4951730" h="0">
                              <a:moveTo>
                                <a:pt x="0" y="0"/>
                              </a:moveTo>
                              <a:lnTo>
                                <a:pt x="495173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349998pt;margin-top:23.528076pt;width:389.9pt;height:.1pt;mso-position-horizontal-relative:page;mso-position-vertical-relative:paragraph;z-index:-15722496;mso-wrap-distance-left:0;mso-wrap-distance-right:0" id="docshape19" coordorigin="2167,471" coordsize="7798,0" path="m2167,471l9965,471e" filled="false" stroked="true" strokeweight=".48pt" strokecolor="#000000">
                <v:path arrowok="t"/>
                <v:stroke dashstyle="solid"/>
                <w10:wrap type="topAndBottom"/>
              </v:shape>
            </w:pict>
          </mc:Fallback>
        </mc:AlternateContent>
      </w:r>
      <w:bookmarkStart w:name="Tabel 7. Hasil Uji Menggunakan Metode Bo" w:id="40"/>
      <w:bookmarkEnd w:id="40"/>
      <w:r>
        <w:rPr>
          <w:b w:val="0"/>
        </w:rPr>
      </w:r>
      <w:r>
        <w:rPr/>
        <w:t>Tabel</w:t>
      </w:r>
      <w:r>
        <w:rPr>
          <w:spacing w:val="-9"/>
        </w:rPr>
        <w:t> </w:t>
      </w:r>
      <w:r>
        <w:rPr/>
        <w:t>7.</w:t>
      </w:r>
      <w:r>
        <w:rPr>
          <w:spacing w:val="-9"/>
        </w:rPr>
        <w:t> </w:t>
      </w:r>
      <w:r>
        <w:rPr/>
        <w:t>Hasil</w:t>
      </w:r>
      <w:r>
        <w:rPr>
          <w:spacing w:val="-8"/>
        </w:rPr>
        <w:t> </w:t>
      </w:r>
      <w:r>
        <w:rPr/>
        <w:t>Uji</w:t>
      </w:r>
      <w:r>
        <w:rPr>
          <w:spacing w:val="-4"/>
        </w:rPr>
        <w:t> </w:t>
      </w:r>
      <w:r>
        <w:rPr/>
        <w:t>Menggunakan</w:t>
      </w:r>
      <w:r>
        <w:rPr>
          <w:spacing w:val="-10"/>
        </w:rPr>
        <w:t> </w:t>
      </w:r>
      <w:r>
        <w:rPr/>
        <w:t>Metode</w:t>
      </w:r>
      <w:r>
        <w:rPr>
          <w:spacing w:val="-7"/>
        </w:rPr>
        <w:t> </w:t>
      </w:r>
      <w:r>
        <w:rPr>
          <w:i/>
          <w:spacing w:val="-2"/>
        </w:rPr>
        <w:t>Bootstrap</w:t>
      </w:r>
    </w:p>
    <w:p>
      <w:pPr>
        <w:tabs>
          <w:tab w:pos="1743" w:val="left" w:leader="none"/>
          <w:tab w:pos="2468" w:val="left" w:leader="none"/>
          <w:tab w:pos="3707" w:val="left" w:leader="none"/>
          <w:tab w:pos="5454" w:val="left" w:leader="none"/>
        </w:tabs>
        <w:spacing w:line="258" w:lineRule="exact" w:before="0"/>
        <w:ind w:left="575" w:right="0" w:firstLine="0"/>
        <w:jc w:val="left"/>
        <w:rPr>
          <w:b/>
          <w:sz w:val="24"/>
        </w:rPr>
      </w:pPr>
      <w:r>
        <w:rPr>
          <w:b/>
          <w:spacing w:val="-2"/>
          <w:sz w:val="24"/>
        </w:rPr>
        <w:t>Model</w:t>
      </w:r>
      <w:r>
        <w:rPr>
          <w:b/>
          <w:sz w:val="24"/>
        </w:rPr>
        <w:tab/>
      </w:r>
      <w:r>
        <w:rPr>
          <w:b/>
          <w:spacing w:val="-10"/>
          <w:sz w:val="24"/>
        </w:rPr>
        <w:t>R</w:t>
      </w:r>
      <w:r>
        <w:rPr>
          <w:b/>
          <w:sz w:val="24"/>
        </w:rPr>
        <w:tab/>
        <w:t>R</w:t>
      </w:r>
      <w:r>
        <w:rPr>
          <w:b/>
          <w:spacing w:val="-1"/>
          <w:sz w:val="24"/>
        </w:rPr>
        <w:t> </w:t>
      </w:r>
      <w:r>
        <w:rPr>
          <w:b/>
          <w:spacing w:val="-2"/>
          <w:sz w:val="24"/>
        </w:rPr>
        <w:t>Square</w:t>
      </w:r>
      <w:r>
        <w:rPr>
          <w:b/>
          <w:sz w:val="24"/>
        </w:rPr>
        <w:tab/>
        <w:t>Adj.</w:t>
      </w:r>
      <w:r>
        <w:rPr>
          <w:b/>
          <w:spacing w:val="-2"/>
          <w:sz w:val="24"/>
        </w:rPr>
        <w:t> </w:t>
      </w:r>
      <w:r>
        <w:rPr>
          <w:b/>
          <w:sz w:val="24"/>
        </w:rPr>
        <w:t>R</w:t>
      </w:r>
      <w:r>
        <w:rPr>
          <w:b/>
          <w:spacing w:val="-3"/>
          <w:sz w:val="24"/>
        </w:rPr>
        <w:t> </w:t>
      </w:r>
      <w:r>
        <w:rPr>
          <w:b/>
          <w:spacing w:val="-2"/>
          <w:sz w:val="24"/>
        </w:rPr>
        <w:t>Square</w:t>
      </w:r>
      <w:r>
        <w:rPr>
          <w:b/>
          <w:sz w:val="24"/>
        </w:rPr>
        <w:tab/>
        <w:t>Std.</w:t>
      </w:r>
      <w:r>
        <w:rPr>
          <w:b/>
          <w:spacing w:val="-11"/>
          <w:sz w:val="24"/>
        </w:rPr>
        <w:t> </w:t>
      </w:r>
      <w:r>
        <w:rPr>
          <w:b/>
          <w:sz w:val="24"/>
        </w:rPr>
        <w:t>Error</w:t>
      </w:r>
      <w:r>
        <w:rPr>
          <w:b/>
          <w:spacing w:val="-7"/>
          <w:sz w:val="24"/>
        </w:rPr>
        <w:t> </w:t>
      </w:r>
      <w:r>
        <w:rPr>
          <w:b/>
          <w:sz w:val="24"/>
        </w:rPr>
        <w:t>of</w:t>
      </w:r>
      <w:r>
        <w:rPr>
          <w:b/>
          <w:spacing w:val="-5"/>
          <w:sz w:val="24"/>
        </w:rPr>
        <w:t> </w:t>
      </w:r>
      <w:r>
        <w:rPr>
          <w:b/>
          <w:sz w:val="24"/>
        </w:rPr>
        <w:t>the</w:t>
      </w:r>
      <w:r>
        <w:rPr>
          <w:b/>
          <w:spacing w:val="-2"/>
          <w:sz w:val="24"/>
        </w:rPr>
        <w:t> Estimate</w:t>
      </w:r>
    </w:p>
    <w:p>
      <w:pPr>
        <w:pStyle w:val="BodyText"/>
        <w:tabs>
          <w:tab w:pos="1556" w:val="left" w:leader="none"/>
          <w:tab w:pos="2682" w:val="left" w:leader="none"/>
          <w:tab w:pos="4170" w:val="left" w:leader="none"/>
          <w:tab w:pos="6121" w:val="left" w:leader="none"/>
        </w:tabs>
        <w:spacing w:line="274" w:lineRule="exact"/>
        <w:ind w:left="575"/>
      </w:pPr>
      <w:r>
        <w:rPr>
          <w:spacing w:val="-10"/>
        </w:rPr>
        <w:t>1</w:t>
      </w:r>
      <w:r>
        <w:rPr/>
        <w:tab/>
      </w:r>
      <w:r>
        <w:rPr>
          <w:spacing w:val="-2"/>
        </w:rPr>
        <w:t>0,888</w:t>
      </w:r>
      <w:r>
        <w:rPr/>
        <w:tab/>
      </w:r>
      <w:r>
        <w:rPr>
          <w:spacing w:val="-2"/>
        </w:rPr>
        <w:t>0,788</w:t>
      </w:r>
      <w:r>
        <w:rPr/>
        <w:tab/>
      </w:r>
      <w:r>
        <w:rPr>
          <w:spacing w:val="-2"/>
        </w:rPr>
        <w:t>0,777</w:t>
      </w:r>
      <w:r>
        <w:rPr/>
        <w:tab/>
        <w:t>1905,</w:t>
      </w:r>
      <w:r>
        <w:rPr>
          <w:spacing w:val="-2"/>
        </w:rPr>
        <w:t> 416966</w:t>
      </w:r>
    </w:p>
    <w:p>
      <w:pPr>
        <w:pStyle w:val="BodyText"/>
        <w:spacing w:before="17"/>
        <w:ind w:left="568"/>
      </w:pPr>
      <w:r>
        <w:rPr/>
        <w:t>Sumber:</w:t>
      </w:r>
      <w:r>
        <w:rPr>
          <w:spacing w:val="-4"/>
        </w:rPr>
        <w:t> </w:t>
      </w:r>
      <w:r>
        <w:rPr/>
        <w:t>Data</w:t>
      </w:r>
      <w:r>
        <w:rPr>
          <w:spacing w:val="-6"/>
        </w:rPr>
        <w:t> </w:t>
      </w:r>
      <w:r>
        <w:rPr/>
        <w:t>diolah,</w:t>
      </w:r>
      <w:r>
        <w:rPr>
          <w:spacing w:val="-1"/>
        </w:rPr>
        <w:t> </w:t>
      </w:r>
      <w:r>
        <w:rPr>
          <w:spacing w:val="-2"/>
        </w:rPr>
        <w:t>2025.</w:t>
      </w:r>
    </w:p>
    <w:p>
      <w:pPr>
        <w:pStyle w:val="BodyText"/>
        <w:spacing w:before="237"/>
        <w:ind w:left="568" w:right="139" w:firstLine="566"/>
        <w:jc w:val="both"/>
      </w:pPr>
      <w:r>
        <w:rPr/>
        <w:t>Nilai Adjusted R Square sebesar 0,777 menunjukkan bahwa variabel profitabilitas (ROA), likuiditas (CR), solvabilitas (DER), dan pertumbuhan aset mampu menjelaskan variasi nilai perusahaan (PBV) sebesar 77,7%, sedangkan sisanya 22,3% dipengaruhi oleh faktor lain di luar model penelitian.</w:t>
      </w:r>
    </w:p>
    <w:p>
      <w:pPr>
        <w:spacing w:before="240"/>
        <w:ind w:left="568" w:right="0" w:firstLine="0"/>
        <w:jc w:val="left"/>
        <w:rPr>
          <w:b/>
          <w:sz w:val="24"/>
        </w:rPr>
      </w:pPr>
      <w:r>
        <w:rPr>
          <w:b/>
          <w:sz w:val="24"/>
        </w:rPr>
        <w:t>Hasil</w:t>
      </w:r>
      <w:r>
        <w:rPr>
          <w:b/>
          <w:spacing w:val="-9"/>
          <w:sz w:val="24"/>
        </w:rPr>
        <w:t> </w:t>
      </w:r>
      <w:r>
        <w:rPr>
          <w:b/>
          <w:sz w:val="24"/>
        </w:rPr>
        <w:t>Pengujian</w:t>
      </w:r>
      <w:r>
        <w:rPr>
          <w:b/>
          <w:spacing w:val="-5"/>
          <w:sz w:val="24"/>
        </w:rPr>
        <w:t> </w:t>
      </w:r>
      <w:r>
        <w:rPr>
          <w:b/>
          <w:spacing w:val="-2"/>
          <w:sz w:val="24"/>
        </w:rPr>
        <w:t>Hipotesis</w:t>
      </w:r>
    </w:p>
    <w:p>
      <w:pPr>
        <w:pStyle w:val="ListParagraph"/>
        <w:numPr>
          <w:ilvl w:val="0"/>
          <w:numId w:val="2"/>
        </w:numPr>
        <w:tabs>
          <w:tab w:pos="851" w:val="left" w:leader="none"/>
        </w:tabs>
        <w:spacing w:line="240" w:lineRule="auto" w:before="0" w:after="0"/>
        <w:ind w:left="851" w:right="0" w:hanging="283"/>
        <w:jc w:val="left"/>
        <w:rPr>
          <w:b/>
          <w:sz w:val="24"/>
        </w:rPr>
      </w:pPr>
      <w:r>
        <w:rPr>
          <w:b/>
          <w:sz w:val="24"/>
        </w:rPr>
        <w:t>Uji</w:t>
      </w:r>
      <w:r>
        <w:rPr>
          <w:b/>
          <w:spacing w:val="-5"/>
          <w:sz w:val="24"/>
        </w:rPr>
        <w:t> </w:t>
      </w:r>
      <w:r>
        <w:rPr>
          <w:b/>
          <w:sz w:val="24"/>
        </w:rPr>
        <w:t>Statistik</w:t>
      </w:r>
      <w:r>
        <w:rPr>
          <w:b/>
          <w:spacing w:val="-4"/>
          <w:sz w:val="24"/>
        </w:rPr>
        <w:t> </w:t>
      </w:r>
      <w:r>
        <w:rPr>
          <w:b/>
          <w:spacing w:val="-10"/>
          <w:sz w:val="24"/>
        </w:rPr>
        <w:t>F</w:t>
      </w:r>
    </w:p>
    <w:p>
      <w:pPr>
        <w:spacing w:before="0"/>
        <w:ind w:left="719" w:right="0" w:firstLine="0"/>
        <w:jc w:val="center"/>
        <w:rPr>
          <w:b/>
          <w:sz w:val="24"/>
        </w:rPr>
      </w:pPr>
      <w:r>
        <w:rPr>
          <w:b/>
          <w:sz w:val="24"/>
        </w:rPr>
        <w:t>Tabel</w:t>
      </w:r>
      <w:r>
        <w:rPr>
          <w:b/>
          <w:spacing w:val="-13"/>
          <w:sz w:val="24"/>
        </w:rPr>
        <w:t> </w:t>
      </w:r>
      <w:r>
        <w:rPr>
          <w:b/>
          <w:sz w:val="24"/>
        </w:rPr>
        <w:t>8.</w:t>
      </w:r>
      <w:r>
        <w:rPr>
          <w:b/>
          <w:spacing w:val="-6"/>
          <w:sz w:val="24"/>
        </w:rPr>
        <w:t> </w:t>
      </w:r>
      <w:r>
        <w:rPr>
          <w:b/>
          <w:sz w:val="24"/>
        </w:rPr>
        <w:t>Hasil</w:t>
      </w:r>
      <w:r>
        <w:rPr>
          <w:b/>
          <w:spacing w:val="-8"/>
          <w:sz w:val="24"/>
        </w:rPr>
        <w:t> </w:t>
      </w:r>
      <w:r>
        <w:rPr>
          <w:b/>
          <w:sz w:val="24"/>
        </w:rPr>
        <w:t>Uji</w:t>
      </w:r>
      <w:r>
        <w:rPr>
          <w:b/>
          <w:spacing w:val="-5"/>
          <w:sz w:val="24"/>
        </w:rPr>
        <w:t> </w:t>
      </w:r>
      <w:r>
        <w:rPr>
          <w:b/>
          <w:spacing w:val="-10"/>
          <w:sz w:val="24"/>
        </w:rPr>
        <w:t>F</w:t>
      </w:r>
    </w:p>
    <w:p>
      <w:pPr>
        <w:spacing w:after="0"/>
        <w:jc w:val="center"/>
        <w:rPr>
          <w:b/>
          <w:sz w:val="24"/>
        </w:rPr>
        <w:sectPr>
          <w:pgSz w:w="11910" w:h="16840"/>
          <w:pgMar w:header="795" w:footer="0" w:top="1080" w:bottom="280" w:left="1700" w:right="1559"/>
        </w:sectPr>
      </w:pPr>
    </w:p>
    <w:p>
      <w:pPr>
        <w:tabs>
          <w:tab w:pos="4400" w:val="left" w:leader="none"/>
          <w:tab w:pos="6116" w:val="left" w:leader="none"/>
        </w:tabs>
        <w:spacing w:before="8"/>
        <w:ind w:left="1676" w:right="0" w:firstLine="0"/>
        <w:jc w:val="left"/>
        <w:rPr>
          <w:b/>
          <w:sz w:val="24"/>
        </w:rPr>
      </w:pPr>
      <w:bookmarkStart w:name="ModelFSig." w:id="41"/>
      <w:bookmarkEnd w:id="41"/>
      <w:r>
        <w:rPr/>
      </w:r>
      <w:r>
        <w:rPr>
          <w:b/>
          <w:spacing w:val="-2"/>
          <w:sz w:val="24"/>
        </w:rPr>
        <w:t>Model</w:t>
      </w:r>
      <w:r>
        <w:rPr>
          <w:b/>
          <w:sz w:val="24"/>
        </w:rPr>
        <w:tab/>
      </w:r>
      <w:r>
        <w:rPr>
          <w:b/>
          <w:spacing w:val="-10"/>
          <w:sz w:val="24"/>
        </w:rPr>
        <w:t>F</w:t>
      </w:r>
      <w:r>
        <w:rPr>
          <w:b/>
          <w:sz w:val="24"/>
        </w:rPr>
        <w:tab/>
      </w:r>
      <w:r>
        <w:rPr>
          <w:b/>
          <w:spacing w:val="-4"/>
          <w:sz w:val="24"/>
        </w:rPr>
        <w:t>Sig.</w:t>
      </w:r>
    </w:p>
    <w:p>
      <w:pPr>
        <w:tabs>
          <w:tab w:pos="2436" w:val="left" w:leader="none"/>
          <w:tab w:pos="4143" w:val="left" w:leader="none"/>
          <w:tab w:pos="6037" w:val="left" w:leader="none"/>
          <w:tab w:pos="7503" w:val="left" w:leader="none"/>
        </w:tabs>
        <w:spacing w:before="0"/>
        <w:ind w:left="1676" w:right="0" w:firstLine="0"/>
        <w:jc w:val="left"/>
        <w:rPr>
          <w:sz w:val="24"/>
        </w:rPr>
      </w:pPr>
      <w:r>
        <w:rPr>
          <w:spacing w:val="-10"/>
          <w:sz w:val="24"/>
        </w:rPr>
        <w:t>1</w:t>
      </w:r>
      <w:r>
        <w:rPr>
          <w:sz w:val="24"/>
        </w:rPr>
        <w:tab/>
      </w:r>
      <w:r>
        <w:rPr>
          <w:spacing w:val="40"/>
          <w:sz w:val="24"/>
          <w:u w:val="single" w:color="7C7C7C"/>
        </w:rPr>
        <w:t> </w:t>
      </w:r>
      <w:r>
        <w:rPr>
          <w:i/>
          <w:sz w:val="24"/>
          <w:u w:val="single" w:color="7C7C7C"/>
        </w:rPr>
        <w:t>Regression</w:t>
        <w:tab/>
      </w:r>
      <w:r>
        <w:rPr>
          <w:spacing w:val="-2"/>
          <w:sz w:val="24"/>
          <w:u w:val="single" w:color="7C7C7C"/>
        </w:rPr>
        <w:t>69,766</w:t>
      </w:r>
      <w:r>
        <w:rPr>
          <w:sz w:val="24"/>
          <w:u w:val="single" w:color="7C7C7C"/>
        </w:rPr>
        <w:tab/>
      </w:r>
      <w:r>
        <w:rPr>
          <w:spacing w:val="-4"/>
          <w:sz w:val="24"/>
          <w:u w:val="single" w:color="7C7C7C"/>
        </w:rPr>
        <w:t>0,000</w:t>
      </w:r>
      <w:r>
        <w:rPr>
          <w:sz w:val="24"/>
          <w:u w:val="single" w:color="7C7C7C"/>
        </w:rPr>
        <w:tab/>
      </w:r>
    </w:p>
    <w:p>
      <w:pPr>
        <w:spacing w:line="247" w:lineRule="auto" w:before="0"/>
        <w:ind w:left="2545" w:right="4821" w:firstLine="0"/>
        <w:jc w:val="left"/>
        <w:rPr>
          <w:i/>
          <w:sz w:val="24"/>
        </w:rPr>
      </w:pPr>
      <w:r>
        <w:rPr>
          <w:i/>
          <w:sz w:val="24"/>
        </w:rPr>
        <mc:AlternateContent>
          <mc:Choice Requires="wps">
            <w:drawing>
              <wp:anchor distT="0" distB="0" distL="0" distR="0" allowOverlap="1" layoutInCell="1" locked="0" behindDoc="0" simplePos="0" relativeHeight="15737344">
                <wp:simplePos x="0" y="0"/>
                <wp:positionH relativeFrom="page">
                  <wp:posOffset>2626995</wp:posOffset>
                </wp:positionH>
                <wp:positionV relativeFrom="paragraph">
                  <wp:posOffset>171606</wp:posOffset>
                </wp:positionV>
                <wp:extent cx="3216910" cy="762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3216910" cy="7620"/>
                        </a:xfrm>
                        <a:custGeom>
                          <a:avLst/>
                          <a:gdLst/>
                          <a:ahLst/>
                          <a:cxnLst/>
                          <a:rect l="l" t="t" r="r" b="b"/>
                          <a:pathLst>
                            <a:path w="3216910" h="7620">
                              <a:moveTo>
                                <a:pt x="3216910" y="7619"/>
                              </a:moveTo>
                              <a:lnTo>
                                <a:pt x="0" y="7619"/>
                              </a:lnTo>
                              <a:lnTo>
                                <a:pt x="0" y="0"/>
                              </a:lnTo>
                              <a:lnTo>
                                <a:pt x="3216910" y="0"/>
                              </a:lnTo>
                              <a:lnTo>
                                <a:pt x="3216910" y="7619"/>
                              </a:lnTo>
                              <a:close/>
                            </a:path>
                          </a:pathLst>
                        </a:custGeom>
                        <a:solidFill>
                          <a:srgbClr val="7C7C7C"/>
                        </a:solidFill>
                      </wps:spPr>
                      <wps:bodyPr wrap="square" lIns="0" tIns="0" rIns="0" bIns="0" rtlCol="0">
                        <a:prstTxWarp prst="textNoShape">
                          <a:avLst/>
                        </a:prstTxWarp>
                        <a:noAutofit/>
                      </wps:bodyPr>
                    </wps:wsp>
                  </a:graphicData>
                </a:graphic>
              </wp:anchor>
            </w:drawing>
          </mc:Choice>
          <mc:Fallback>
            <w:pict>
              <v:rect style="position:absolute;margin-left:206.850006pt;margin-top:13.512343pt;width:253.3pt;height:.6pt;mso-position-horizontal-relative:page;mso-position-vertical-relative:paragraph;z-index:15737344" id="docshape20" filled="true" fillcolor="#7c7c7c" stroked="false">
                <v:fill type="solid"/>
                <w10:wrap type="none"/>
              </v:rect>
            </w:pict>
          </mc:Fallback>
        </mc:AlternateContent>
      </w:r>
      <w:r>
        <w:rPr>
          <w:i/>
          <w:spacing w:val="-4"/>
          <w:sz w:val="24"/>
        </w:rPr>
        <w:t>Residual </w:t>
      </w:r>
      <w:r>
        <w:rPr>
          <w:i/>
          <w:spacing w:val="-2"/>
          <w:sz w:val="24"/>
        </w:rPr>
        <w:t>Total</w:t>
      </w:r>
    </w:p>
    <w:p>
      <w:pPr>
        <w:pStyle w:val="BodyText"/>
        <w:spacing w:before="199"/>
        <w:ind w:left="1700"/>
      </w:pPr>
      <w:r>
        <w:rPr/>
        <w:t>Sumber:</w:t>
      </w:r>
      <w:r>
        <w:rPr>
          <w:spacing w:val="-4"/>
        </w:rPr>
        <w:t> </w:t>
      </w:r>
      <w:r>
        <w:rPr/>
        <w:t>Data</w:t>
      </w:r>
      <w:r>
        <w:rPr>
          <w:spacing w:val="-3"/>
        </w:rPr>
        <w:t> </w:t>
      </w:r>
      <w:r>
        <w:rPr/>
        <w:t>diolah,</w:t>
      </w:r>
      <w:r>
        <w:rPr>
          <w:spacing w:val="-4"/>
        </w:rPr>
        <w:t> </w:t>
      </w:r>
      <w:r>
        <w:rPr>
          <w:spacing w:val="-2"/>
        </w:rPr>
        <w:t>2025.</w:t>
      </w:r>
    </w:p>
    <w:p>
      <w:pPr>
        <w:pStyle w:val="BodyText"/>
        <w:spacing w:before="240"/>
        <w:ind w:left="568" w:right="140" w:firstLine="283"/>
        <w:jc w:val="both"/>
      </w:pPr>
      <w:r>
        <w:rPr/>
        <w:t>Berdasarkan hasil uji F, diperoleh nilai F hitung sebesar 69,766 dengan tingkat signifikansi 0,000 ( </w:t>
      </w:r>
      <w:r>
        <w:rPr>
          <w:rFonts w:ascii="Cambria Math" w:hAnsi="Cambria Math"/>
        </w:rPr>
        <w:t>≤</w:t>
      </w:r>
      <w:r>
        <w:rPr>
          <w:rFonts w:ascii="Cambria Math" w:hAnsi="Cambria Math"/>
          <w:spacing w:val="40"/>
        </w:rPr>
        <w:t> </w:t>
      </w:r>
      <w:r>
        <w:rPr/>
        <w:t>0,05). Hasil ini menunjukkan bahwa model regresi secara simultan signifikan, sehingga variabel independen secara bersama-sama berpengaruh terhadap nilai perusahaan dan model penelitian dinyatakan layak </w:t>
      </w:r>
      <w:r>
        <w:rPr>
          <w:spacing w:val="-2"/>
        </w:rPr>
        <w:t>digunakan.</w:t>
      </w:r>
    </w:p>
    <w:p>
      <w:pPr>
        <w:pStyle w:val="Heading2"/>
        <w:numPr>
          <w:ilvl w:val="0"/>
          <w:numId w:val="2"/>
        </w:numPr>
        <w:tabs>
          <w:tab w:pos="851" w:val="left" w:leader="none"/>
        </w:tabs>
        <w:spacing w:line="240" w:lineRule="auto" w:before="245" w:after="0"/>
        <w:ind w:left="851" w:right="0" w:hanging="283"/>
        <w:jc w:val="left"/>
      </w:pPr>
      <w:bookmarkStart w:name="2.Uji Statistik t" w:id="42"/>
      <w:bookmarkEnd w:id="42"/>
      <w:r>
        <w:rPr/>
        <w:t>U</w:t>
      </w:r>
      <w:r>
        <w:rPr/>
        <w:t>ji</w:t>
      </w:r>
      <w:r>
        <w:rPr>
          <w:spacing w:val="-5"/>
        </w:rPr>
        <w:t> </w:t>
      </w:r>
      <w:r>
        <w:rPr/>
        <w:t>Statistik</w:t>
      </w:r>
      <w:r>
        <w:rPr>
          <w:spacing w:val="-4"/>
        </w:rPr>
        <w:t> </w:t>
      </w:r>
      <w:r>
        <w:rPr>
          <w:spacing w:val="-10"/>
        </w:rPr>
        <w:t>t</w:t>
      </w:r>
    </w:p>
    <w:p>
      <w:pPr>
        <w:spacing w:before="0"/>
        <w:ind w:left="3719" w:right="0" w:firstLine="0"/>
        <w:jc w:val="left"/>
        <w:rPr>
          <w:b/>
          <w:sz w:val="24"/>
        </w:rPr>
      </w:pPr>
      <w:r>
        <w:rPr>
          <w:b/>
          <w:sz w:val="24"/>
        </w:rPr>
        <w:t>Tabel</w:t>
      </w:r>
      <w:r>
        <w:rPr>
          <w:b/>
          <w:spacing w:val="-15"/>
          <w:sz w:val="24"/>
        </w:rPr>
        <w:t> </w:t>
      </w:r>
      <w:r>
        <w:rPr>
          <w:b/>
          <w:sz w:val="24"/>
        </w:rPr>
        <w:t>9.</w:t>
      </w:r>
      <w:r>
        <w:rPr>
          <w:b/>
          <w:spacing w:val="-6"/>
          <w:sz w:val="24"/>
        </w:rPr>
        <w:t> </w:t>
      </w:r>
      <w:r>
        <w:rPr>
          <w:b/>
          <w:sz w:val="24"/>
        </w:rPr>
        <w:t>Hasil</w:t>
      </w:r>
      <w:r>
        <w:rPr>
          <w:b/>
          <w:spacing w:val="-11"/>
          <w:sz w:val="24"/>
        </w:rPr>
        <w:t> </w:t>
      </w:r>
      <w:r>
        <w:rPr>
          <w:b/>
          <w:sz w:val="24"/>
        </w:rPr>
        <w:t>Uji</w:t>
      </w:r>
      <w:r>
        <w:rPr>
          <w:b/>
          <w:spacing w:val="-2"/>
          <w:sz w:val="24"/>
        </w:rPr>
        <w:t> </w:t>
      </w:r>
      <w:r>
        <w:rPr>
          <w:b/>
          <w:spacing w:val="-10"/>
          <w:sz w:val="24"/>
        </w:rPr>
        <w:t>t</w:t>
      </w:r>
    </w:p>
    <w:p>
      <w:pPr>
        <w:pStyle w:val="BodyText"/>
        <w:spacing w:before="9"/>
        <w:rPr>
          <w:b/>
          <w:sz w:val="3"/>
        </w:rPr>
      </w:pPr>
      <w:r>
        <w:rPr>
          <w:b/>
          <w:sz w:val="3"/>
        </w:rPr>
        <mc:AlternateContent>
          <mc:Choice Requires="wps">
            <w:drawing>
              <wp:anchor distT="0" distB="0" distL="0" distR="0" allowOverlap="1" layoutInCell="1" locked="0" behindDoc="1" simplePos="0" relativeHeight="487594496">
                <wp:simplePos x="0" y="0"/>
                <wp:positionH relativeFrom="page">
                  <wp:posOffset>2023110</wp:posOffset>
                </wp:positionH>
                <wp:positionV relativeFrom="paragraph">
                  <wp:posOffset>42882</wp:posOffset>
                </wp:positionV>
                <wp:extent cx="3961129" cy="762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3961129" cy="7620"/>
                        </a:xfrm>
                        <a:custGeom>
                          <a:avLst/>
                          <a:gdLst/>
                          <a:ahLst/>
                          <a:cxnLst/>
                          <a:rect l="l" t="t" r="r" b="b"/>
                          <a:pathLst>
                            <a:path w="3961129" h="7620">
                              <a:moveTo>
                                <a:pt x="3961129" y="7620"/>
                              </a:moveTo>
                              <a:lnTo>
                                <a:pt x="0" y="7620"/>
                              </a:lnTo>
                              <a:lnTo>
                                <a:pt x="0" y="0"/>
                              </a:lnTo>
                              <a:lnTo>
                                <a:pt x="3961129" y="0"/>
                              </a:lnTo>
                              <a:lnTo>
                                <a:pt x="3961129"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9.300003pt;margin-top:3.376601pt;width:311.9pt;height:.6pt;mso-position-horizontal-relative:page;mso-position-vertical-relative:paragraph;z-index:-15721984;mso-wrap-distance-left:0;mso-wrap-distance-right:0" id="docshape21" filled="true" fillcolor="#000000" stroked="false">
                <v:fill type="solid"/>
                <w10:wrap type="topAndBottom"/>
              </v:rect>
            </w:pict>
          </mc:Fallback>
        </mc:AlternateContent>
      </w:r>
    </w:p>
    <w:p>
      <w:pPr>
        <w:pStyle w:val="Heading2"/>
        <w:tabs>
          <w:tab w:pos="3903" w:val="left" w:leader="none"/>
          <w:tab w:pos="6044" w:val="left" w:leader="none"/>
        </w:tabs>
        <w:ind w:left="1592"/>
        <w:jc w:val="left"/>
      </w:pPr>
      <w:bookmarkStart w:name="VariabelBSig." w:id="43"/>
      <w:bookmarkEnd w:id="43"/>
      <w:r>
        <w:rPr>
          <w:b w:val="0"/>
        </w:rPr>
      </w:r>
      <w:r>
        <w:rPr>
          <w:spacing w:val="-2"/>
        </w:rPr>
        <w:t>Variabel</w:t>
      </w:r>
      <w:r>
        <w:rPr/>
        <w:tab/>
      </w:r>
      <w:r>
        <w:rPr>
          <w:spacing w:val="-10"/>
        </w:rPr>
        <w:t>B</w:t>
      </w:r>
      <w:r>
        <w:rPr/>
        <w:tab/>
      </w:r>
      <w:r>
        <w:rPr>
          <w:spacing w:val="-4"/>
        </w:rPr>
        <w:t>Sig.</w:t>
      </w:r>
    </w:p>
    <w:p>
      <w:pPr>
        <w:pStyle w:val="BodyText"/>
        <w:tabs>
          <w:tab w:pos="3534" w:val="left" w:leader="none"/>
          <w:tab w:pos="5965" w:val="left" w:leader="none"/>
        </w:tabs>
        <w:spacing w:after="3"/>
        <w:ind w:left="1592"/>
      </w:pPr>
      <w:r>
        <w:rPr>
          <w:spacing w:val="-2"/>
        </w:rPr>
        <w:t>Constant</w:t>
      </w:r>
      <w:r>
        <w:rPr/>
        <w:tab/>
      </w:r>
      <w:r>
        <w:rPr>
          <w:spacing w:val="-2"/>
        </w:rPr>
        <w:t>1206,859</w:t>
      </w:r>
      <w:r>
        <w:rPr/>
        <w:tab/>
      </w:r>
      <w:r>
        <w:rPr>
          <w:spacing w:val="-4"/>
        </w:rPr>
        <w:t>0,002</w:t>
      </w:r>
    </w:p>
    <w:p>
      <w:pPr>
        <w:spacing w:line="20" w:lineRule="exact"/>
        <w:ind w:left="1501" w:right="0" w:firstLine="0"/>
        <w:rPr>
          <w:sz w:val="2"/>
        </w:rPr>
      </w:pPr>
      <w:r>
        <w:rPr>
          <w:sz w:val="2"/>
        </w:rPr>
        <mc:AlternateContent>
          <mc:Choice Requires="wps">
            <w:drawing>
              <wp:inline distT="0" distB="0" distL="0" distR="0">
                <wp:extent cx="3961129" cy="7620"/>
                <wp:effectExtent l="0" t="0" r="0" b="0"/>
                <wp:docPr id="33" name="Group 33"/>
                <wp:cNvGraphicFramePr>
                  <a:graphicFrameLocks/>
                </wp:cNvGraphicFramePr>
                <a:graphic>
                  <a:graphicData uri="http://schemas.microsoft.com/office/word/2010/wordprocessingGroup">
                    <wpg:wgp>
                      <wpg:cNvPr id="33" name="Group 33"/>
                      <wpg:cNvGrpSpPr/>
                      <wpg:grpSpPr>
                        <a:xfrm>
                          <a:off x="0" y="0"/>
                          <a:ext cx="3961129" cy="7620"/>
                          <a:chExt cx="3961129" cy="7620"/>
                        </a:xfrm>
                      </wpg:grpSpPr>
                      <wps:wsp>
                        <wps:cNvPr id="34" name="Graphic 34"/>
                        <wps:cNvSpPr/>
                        <wps:spPr>
                          <a:xfrm>
                            <a:off x="0" y="0"/>
                            <a:ext cx="3961129" cy="7620"/>
                          </a:xfrm>
                          <a:custGeom>
                            <a:avLst/>
                            <a:gdLst/>
                            <a:ahLst/>
                            <a:cxnLst/>
                            <a:rect l="l" t="t" r="r" b="b"/>
                            <a:pathLst>
                              <a:path w="3961129" h="7620">
                                <a:moveTo>
                                  <a:pt x="3961129" y="7620"/>
                                </a:moveTo>
                                <a:lnTo>
                                  <a:pt x="0" y="7620"/>
                                </a:lnTo>
                                <a:lnTo>
                                  <a:pt x="0" y="0"/>
                                </a:lnTo>
                                <a:lnTo>
                                  <a:pt x="3961129" y="0"/>
                                </a:lnTo>
                                <a:lnTo>
                                  <a:pt x="3961129"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11.9pt;height:.6pt;mso-position-horizontal-relative:char;mso-position-vertical-relative:line" id="docshapegroup22" coordorigin="0,0" coordsize="6238,12">
                <v:rect style="position:absolute;left:0;top:0;width:6238;height:12" id="docshape23" filled="true" fillcolor="#000000" stroked="false">
                  <v:fill type="solid"/>
                </v:rect>
              </v:group>
            </w:pict>
          </mc:Fallback>
        </mc:AlternateContent>
      </w:r>
      <w:r>
        <w:rPr>
          <w:sz w:val="2"/>
        </w:rPr>
      </w:r>
    </w:p>
    <w:p>
      <w:pPr>
        <w:pStyle w:val="BodyText"/>
        <w:tabs>
          <w:tab w:pos="3539" w:val="left" w:leader="none"/>
          <w:tab w:pos="5965" w:val="left" w:leader="none"/>
        </w:tabs>
        <w:spacing w:line="275" w:lineRule="exact"/>
        <w:ind w:left="1592"/>
      </w:pPr>
      <w:r>
        <w:rPr>
          <w:spacing w:val="-5"/>
        </w:rPr>
        <w:t>X1</w:t>
      </w:r>
      <w:r>
        <w:rPr/>
        <w:tab/>
      </w:r>
      <w:r>
        <w:rPr>
          <w:spacing w:val="-2"/>
        </w:rPr>
        <w:t>8114,918</w:t>
      </w:r>
      <w:r>
        <w:rPr/>
        <w:tab/>
      </w:r>
      <w:r>
        <w:rPr>
          <w:spacing w:val="-4"/>
        </w:rPr>
        <w:t>0,172</w:t>
      </w:r>
    </w:p>
    <w:p>
      <w:pPr>
        <w:spacing w:line="20" w:lineRule="exact"/>
        <w:ind w:left="1486" w:right="0" w:firstLine="0"/>
        <w:rPr>
          <w:sz w:val="2"/>
        </w:rPr>
      </w:pPr>
      <w:r>
        <w:rPr>
          <w:sz w:val="2"/>
        </w:rPr>
        <mc:AlternateContent>
          <mc:Choice Requires="wps">
            <w:drawing>
              <wp:inline distT="0" distB="0" distL="0" distR="0">
                <wp:extent cx="3961129" cy="7620"/>
                <wp:effectExtent l="0" t="0" r="0" b="0"/>
                <wp:docPr id="35" name="Group 35"/>
                <wp:cNvGraphicFramePr>
                  <a:graphicFrameLocks/>
                </wp:cNvGraphicFramePr>
                <a:graphic>
                  <a:graphicData uri="http://schemas.microsoft.com/office/word/2010/wordprocessingGroup">
                    <wpg:wgp>
                      <wpg:cNvPr id="35" name="Group 35"/>
                      <wpg:cNvGrpSpPr/>
                      <wpg:grpSpPr>
                        <a:xfrm>
                          <a:off x="0" y="0"/>
                          <a:ext cx="3961129" cy="7620"/>
                          <a:chExt cx="3961129" cy="7620"/>
                        </a:xfrm>
                      </wpg:grpSpPr>
                      <wps:wsp>
                        <wps:cNvPr id="36" name="Graphic 36"/>
                        <wps:cNvSpPr/>
                        <wps:spPr>
                          <a:xfrm>
                            <a:off x="0" y="0"/>
                            <a:ext cx="3961129" cy="7620"/>
                          </a:xfrm>
                          <a:custGeom>
                            <a:avLst/>
                            <a:gdLst/>
                            <a:ahLst/>
                            <a:cxnLst/>
                            <a:rect l="l" t="t" r="r" b="b"/>
                            <a:pathLst>
                              <a:path w="3961129" h="7620">
                                <a:moveTo>
                                  <a:pt x="3961129" y="7620"/>
                                </a:moveTo>
                                <a:lnTo>
                                  <a:pt x="0" y="7620"/>
                                </a:lnTo>
                                <a:lnTo>
                                  <a:pt x="0" y="0"/>
                                </a:lnTo>
                                <a:lnTo>
                                  <a:pt x="3961129" y="0"/>
                                </a:lnTo>
                                <a:lnTo>
                                  <a:pt x="3961129"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11.9pt;height:.6pt;mso-position-horizontal-relative:char;mso-position-vertical-relative:line" id="docshapegroup24" coordorigin="0,0" coordsize="6238,12">
                <v:rect style="position:absolute;left:0;top:0;width:6238;height:12" id="docshape25" filled="true" fillcolor="#000000" stroked="false">
                  <v:fill type="solid"/>
                </v:rect>
              </v:group>
            </w:pict>
          </mc:Fallback>
        </mc:AlternateContent>
      </w:r>
      <w:r>
        <w:rPr>
          <w:sz w:val="2"/>
        </w:rPr>
      </w:r>
    </w:p>
    <w:p>
      <w:pPr>
        <w:pStyle w:val="BodyText"/>
        <w:tabs>
          <w:tab w:pos="3615" w:val="left" w:leader="none"/>
          <w:tab w:pos="5965" w:val="left" w:leader="none"/>
        </w:tabs>
        <w:spacing w:line="255" w:lineRule="exact"/>
        <w:ind w:left="1592"/>
      </w:pPr>
      <w:r>
        <w:rPr>
          <w:spacing w:val="-5"/>
        </w:rPr>
        <w:t>X2</w:t>
      </w:r>
      <w:r>
        <w:rPr/>
        <w:tab/>
      </w:r>
      <w:r>
        <w:rPr>
          <w:spacing w:val="-2"/>
        </w:rPr>
        <w:t>-79,890</w:t>
      </w:r>
      <w:r>
        <w:rPr/>
        <w:tab/>
      </w:r>
      <w:r>
        <w:rPr>
          <w:spacing w:val="-4"/>
        </w:rPr>
        <w:t>0,009</w:t>
      </w:r>
    </w:p>
    <w:p>
      <w:pPr>
        <w:spacing w:line="20" w:lineRule="exact"/>
        <w:ind w:left="1501" w:right="0" w:firstLine="0"/>
        <w:rPr>
          <w:sz w:val="2"/>
        </w:rPr>
      </w:pPr>
      <w:r>
        <w:rPr>
          <w:sz w:val="2"/>
        </w:rPr>
        <mc:AlternateContent>
          <mc:Choice Requires="wps">
            <w:drawing>
              <wp:inline distT="0" distB="0" distL="0" distR="0">
                <wp:extent cx="3961129" cy="7620"/>
                <wp:effectExtent l="0" t="0" r="0" b="0"/>
                <wp:docPr id="37" name="Group 37"/>
                <wp:cNvGraphicFramePr>
                  <a:graphicFrameLocks/>
                </wp:cNvGraphicFramePr>
                <a:graphic>
                  <a:graphicData uri="http://schemas.microsoft.com/office/word/2010/wordprocessingGroup">
                    <wpg:wgp>
                      <wpg:cNvPr id="37" name="Group 37"/>
                      <wpg:cNvGrpSpPr/>
                      <wpg:grpSpPr>
                        <a:xfrm>
                          <a:off x="0" y="0"/>
                          <a:ext cx="3961129" cy="7620"/>
                          <a:chExt cx="3961129" cy="7620"/>
                        </a:xfrm>
                      </wpg:grpSpPr>
                      <wps:wsp>
                        <wps:cNvPr id="38" name="Graphic 38"/>
                        <wps:cNvSpPr/>
                        <wps:spPr>
                          <a:xfrm>
                            <a:off x="0" y="0"/>
                            <a:ext cx="3961129" cy="7620"/>
                          </a:xfrm>
                          <a:custGeom>
                            <a:avLst/>
                            <a:gdLst/>
                            <a:ahLst/>
                            <a:cxnLst/>
                            <a:rect l="l" t="t" r="r" b="b"/>
                            <a:pathLst>
                              <a:path w="3961129" h="7620">
                                <a:moveTo>
                                  <a:pt x="3961129" y="7620"/>
                                </a:moveTo>
                                <a:lnTo>
                                  <a:pt x="0" y="7620"/>
                                </a:lnTo>
                                <a:lnTo>
                                  <a:pt x="0" y="0"/>
                                </a:lnTo>
                                <a:lnTo>
                                  <a:pt x="3961129" y="0"/>
                                </a:lnTo>
                                <a:lnTo>
                                  <a:pt x="3961129"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11.9pt;height:.6pt;mso-position-horizontal-relative:char;mso-position-vertical-relative:line" id="docshapegroup26" coordorigin="0,0" coordsize="6238,12">
                <v:rect style="position:absolute;left:0;top:0;width:6238;height:12" id="docshape27" filled="true" fillcolor="#000000" stroked="false">
                  <v:fill type="solid"/>
                </v:rect>
              </v:group>
            </w:pict>
          </mc:Fallback>
        </mc:AlternateContent>
      </w:r>
      <w:r>
        <w:rPr>
          <w:sz w:val="2"/>
        </w:rPr>
      </w:r>
    </w:p>
    <w:p>
      <w:pPr>
        <w:pStyle w:val="BodyText"/>
        <w:tabs>
          <w:tab w:pos="3594" w:val="left" w:leader="none"/>
          <w:tab w:pos="5965" w:val="left" w:leader="none"/>
        </w:tabs>
        <w:spacing w:before="1"/>
        <w:ind w:left="1592"/>
      </w:pPr>
      <w:r>
        <w:rPr/>
        <mc:AlternateContent>
          <mc:Choice Requires="wps">
            <w:drawing>
              <wp:anchor distT="0" distB="0" distL="0" distR="0" allowOverlap="1" layoutInCell="1" locked="0" behindDoc="0" simplePos="0" relativeHeight="15737856">
                <wp:simplePos x="0" y="0"/>
                <wp:positionH relativeFrom="page">
                  <wp:posOffset>2023110</wp:posOffset>
                </wp:positionH>
                <wp:positionV relativeFrom="paragraph">
                  <wp:posOffset>165227</wp:posOffset>
                </wp:positionV>
                <wp:extent cx="3961129" cy="762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3961129" cy="7620"/>
                        </a:xfrm>
                        <a:custGeom>
                          <a:avLst/>
                          <a:gdLst/>
                          <a:ahLst/>
                          <a:cxnLst/>
                          <a:rect l="l" t="t" r="r" b="b"/>
                          <a:pathLst>
                            <a:path w="3961129" h="7620">
                              <a:moveTo>
                                <a:pt x="3961129" y="7620"/>
                              </a:moveTo>
                              <a:lnTo>
                                <a:pt x="0" y="7620"/>
                              </a:lnTo>
                              <a:lnTo>
                                <a:pt x="0" y="0"/>
                              </a:lnTo>
                              <a:lnTo>
                                <a:pt x="3961129" y="0"/>
                              </a:lnTo>
                              <a:lnTo>
                                <a:pt x="3961129"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9.300003pt;margin-top:13.01pt;width:311.9pt;height:.6pt;mso-position-horizontal-relative:page;mso-position-vertical-relative:paragraph;z-index:15737856" id="docshape28" filled="true" fillcolor="#000000" stroked="false">
                <v:fill type="solid"/>
                <w10:wrap type="none"/>
              </v:rect>
            </w:pict>
          </mc:Fallback>
        </mc:AlternateContent>
      </w:r>
      <w:r>
        <w:rPr>
          <w:spacing w:val="-5"/>
        </w:rPr>
        <w:t>X3</w:t>
      </w:r>
      <w:r>
        <w:rPr/>
        <w:tab/>
      </w:r>
      <w:r>
        <w:rPr>
          <w:spacing w:val="-2"/>
        </w:rPr>
        <w:t>214,454</w:t>
      </w:r>
      <w:r>
        <w:rPr/>
        <w:tab/>
      </w:r>
      <w:r>
        <w:rPr>
          <w:spacing w:val="-4"/>
        </w:rPr>
        <w:t>0,001</w:t>
      </w:r>
    </w:p>
    <w:p>
      <w:pPr>
        <w:pStyle w:val="BodyText"/>
        <w:tabs>
          <w:tab w:pos="3555" w:val="left" w:leader="none"/>
          <w:tab w:pos="5965" w:val="left" w:leader="none"/>
        </w:tabs>
        <w:ind w:left="1592"/>
      </w:pPr>
      <w:r>
        <w:rPr>
          <w:spacing w:val="-5"/>
        </w:rPr>
        <w:t>X4</w:t>
      </w:r>
      <w:r>
        <w:rPr/>
        <w:tab/>
      </w:r>
      <w:r>
        <w:rPr>
          <w:spacing w:val="-2"/>
        </w:rPr>
        <w:t>-700,284</w:t>
      </w:r>
      <w:r>
        <w:rPr/>
        <w:tab/>
      </w:r>
      <w:r>
        <w:rPr>
          <w:spacing w:val="-4"/>
        </w:rPr>
        <w:t>0,287</w:t>
      </w:r>
    </w:p>
    <w:p>
      <w:pPr>
        <w:pStyle w:val="BodyText"/>
        <w:spacing w:before="148"/>
        <w:ind w:left="1420"/>
      </w:pPr>
      <w:r>
        <w:rPr/>
        <w:t>Sumber:</w:t>
      </w:r>
      <w:r>
        <w:rPr>
          <w:spacing w:val="-9"/>
        </w:rPr>
        <w:t> </w:t>
      </w:r>
      <w:r>
        <w:rPr/>
        <w:t>Data</w:t>
      </w:r>
      <w:r>
        <w:rPr>
          <w:spacing w:val="-1"/>
        </w:rPr>
        <w:t> </w:t>
      </w:r>
      <w:r>
        <w:rPr/>
        <w:t>diolah,</w:t>
      </w:r>
      <w:r>
        <w:rPr>
          <w:spacing w:val="-4"/>
        </w:rPr>
        <w:t> </w:t>
      </w:r>
      <w:r>
        <w:rPr>
          <w:spacing w:val="-2"/>
        </w:rPr>
        <w:t>2025.</w:t>
      </w:r>
    </w:p>
    <w:p>
      <w:pPr>
        <w:pStyle w:val="BodyText"/>
        <w:spacing w:before="241"/>
        <w:ind w:left="568" w:right="136" w:firstLine="283"/>
        <w:jc w:val="both"/>
      </w:pPr>
      <w:r>
        <w:rPr/>
        <w:t>Berdasarkan hasil uji t, tidak seluruh variabel independen berpengaruh signifikan terhadap nilai perusahaan. Profitabilitas (ROA) memiliki koefisien positif namun tidak signifikan (Sig. 0,172 </w:t>
      </w:r>
      <w:r>
        <w:rPr>
          <w:rFonts w:ascii="Cambria Math" w:hAnsi="Cambria Math"/>
        </w:rPr>
        <w:t>≥</w:t>
      </w:r>
      <w:r>
        <w:rPr>
          <w:rFonts w:ascii="Cambria Math" w:hAnsi="Cambria Math"/>
          <w:spacing w:val="40"/>
        </w:rPr>
        <w:t> </w:t>
      </w:r>
      <w:r>
        <w:rPr/>
        <w:t>0,05), sehingga tidak berpengaruh terhadap nilai perusahaan. Likuiditas (CR) berpengaruh negatif signifikan ( = – 79,890; Sig. 0,009 </w:t>
      </w:r>
      <w:r>
        <w:rPr>
          <w:rFonts w:ascii="Cambria Math" w:hAnsi="Cambria Math"/>
        </w:rPr>
        <w:t>≤</w:t>
      </w:r>
      <w:r>
        <w:rPr>
          <w:rFonts w:ascii="Cambria Math" w:hAnsi="Cambria Math"/>
          <w:spacing w:val="40"/>
        </w:rPr>
        <w:t> </w:t>
      </w:r>
      <w:r>
        <w:rPr/>
        <w:t>0,05), yang menunjukkan bahwa tingkat likuiditas yang tinggi justru direspons negatif oleh pasar. Solvabilitas (DER) berpengaruh positif signifikan (</w:t>
      </w:r>
      <w:r>
        <w:rPr>
          <w:spacing w:val="80"/>
        </w:rPr>
        <w:t> </w:t>
      </w:r>
      <w:r>
        <w:rPr/>
        <w:t>= 214,454; Sig. 0,001 </w:t>
      </w:r>
      <w:r>
        <w:rPr>
          <w:rFonts w:ascii="Cambria Math" w:hAnsi="Cambria Math"/>
        </w:rPr>
        <w:t>≤</w:t>
      </w:r>
      <w:r>
        <w:rPr>
          <w:rFonts w:ascii="Cambria Math" w:hAnsi="Cambria Math"/>
          <w:spacing w:val="40"/>
        </w:rPr>
        <w:t> </w:t>
      </w:r>
      <w:r>
        <w:rPr/>
        <w:t>0,05), menandakan bahwa penggunaan</w:t>
      </w:r>
      <w:r>
        <w:rPr>
          <w:spacing w:val="40"/>
        </w:rPr>
        <w:t> </w:t>
      </w:r>
      <w:r>
        <w:rPr/>
        <w:t>utang dipersepsikan mendukung peningkatan nilai perusahaan. Sementara itu, pertumbuhan aset tidak berpengaruh signifikan (Sig. 0,287 </w:t>
      </w:r>
      <w:r>
        <w:rPr>
          <w:rFonts w:ascii="Cambria Math" w:hAnsi="Cambria Math"/>
        </w:rPr>
        <w:t>≥</w:t>
      </w:r>
      <w:r>
        <w:rPr>
          <w:rFonts w:ascii="Cambria Math" w:hAnsi="Cambria Math"/>
          <w:spacing w:val="40"/>
        </w:rPr>
        <w:t> </w:t>
      </w:r>
      <w:r>
        <w:rPr/>
        <w:t>0,05), sehingga</w:t>
      </w:r>
      <w:r>
        <w:rPr>
          <w:spacing w:val="40"/>
        </w:rPr>
        <w:t> </w:t>
      </w:r>
      <w:r>
        <w:rPr/>
        <w:t>tidak terbukti memengaruhi nilai perusahaan pada periode penelitian.</w:t>
      </w:r>
    </w:p>
    <w:p>
      <w:pPr>
        <w:pStyle w:val="BodyText"/>
        <w:spacing w:before="160"/>
      </w:pPr>
    </w:p>
    <w:p>
      <w:pPr>
        <w:pStyle w:val="Heading1"/>
        <w:spacing w:before="1"/>
        <w:jc w:val="left"/>
      </w:pPr>
      <w:bookmarkStart w:name="PEMBAHASAN HIPOTESIS" w:id="44"/>
      <w:bookmarkEnd w:id="44"/>
      <w:r>
        <w:rPr>
          <w:b w:val="0"/>
        </w:rPr>
      </w:r>
      <w:r>
        <w:rPr/>
        <w:t>PEMBAHASAN</w:t>
      </w:r>
      <w:r>
        <w:rPr>
          <w:spacing w:val="-13"/>
        </w:rPr>
        <w:t> </w:t>
      </w:r>
      <w:r>
        <w:rPr>
          <w:spacing w:val="-2"/>
        </w:rPr>
        <w:t>HIPOTESIS</w:t>
      </w:r>
    </w:p>
    <w:p>
      <w:pPr>
        <w:pStyle w:val="Heading2"/>
        <w:numPr>
          <w:ilvl w:val="0"/>
          <w:numId w:val="3"/>
        </w:numPr>
        <w:tabs>
          <w:tab w:pos="851" w:val="left" w:leader="none"/>
        </w:tabs>
        <w:spacing w:line="240" w:lineRule="auto" w:before="0" w:after="0"/>
        <w:ind w:left="851" w:right="0" w:hanging="283"/>
        <w:jc w:val="both"/>
      </w:pPr>
      <w:bookmarkStart w:name="1.Profitabilitas Tidak Berpengaruh Terha" w:id="45"/>
      <w:bookmarkEnd w:id="45"/>
      <w:r>
        <w:rPr/>
        <w:t>P</w:t>
      </w:r>
      <w:r>
        <w:rPr/>
        <w:t>rofitabilitas</w:t>
      </w:r>
      <w:r>
        <w:rPr>
          <w:spacing w:val="-19"/>
        </w:rPr>
        <w:t> </w:t>
      </w:r>
      <w:r>
        <w:rPr/>
        <w:t>Tidak</w:t>
      </w:r>
      <w:r>
        <w:rPr>
          <w:spacing w:val="-15"/>
        </w:rPr>
        <w:t> </w:t>
      </w:r>
      <w:r>
        <w:rPr/>
        <w:t>Berpengaruh</w:t>
      </w:r>
      <w:r>
        <w:rPr>
          <w:spacing w:val="-15"/>
        </w:rPr>
        <w:t> </w:t>
      </w:r>
      <w:r>
        <w:rPr/>
        <w:t>Terhadap</w:t>
      </w:r>
      <w:r>
        <w:rPr>
          <w:spacing w:val="-15"/>
        </w:rPr>
        <w:t> </w:t>
      </w:r>
      <w:r>
        <w:rPr/>
        <w:t>Nilai</w:t>
      </w:r>
      <w:r>
        <w:rPr>
          <w:spacing w:val="-13"/>
        </w:rPr>
        <w:t> </w:t>
      </w:r>
      <w:r>
        <w:rPr>
          <w:spacing w:val="-2"/>
        </w:rPr>
        <w:t>Perusahaan.</w:t>
      </w:r>
    </w:p>
    <w:p>
      <w:pPr>
        <w:pStyle w:val="BodyText"/>
        <w:ind w:left="568" w:right="137" w:firstLine="283"/>
        <w:jc w:val="both"/>
      </w:pPr>
      <w:r>
        <w:rPr/>
        <w:t>Hasil uji regresi menunjukkan bahwa profitabilitas (ROA) tidak berpengaruh signifikan terhadap nilai perusahaan, dengan nilai signifikansi sebesar 0,172 ( </w:t>
      </w:r>
      <w:r>
        <w:rPr>
          <w:rFonts w:ascii="Cambria Math" w:hAnsi="Cambria Math"/>
        </w:rPr>
        <w:t>≥ </w:t>
      </w:r>
      <w:r>
        <w:rPr/>
        <w:t>0,05), sehingga hipotesis pertama ditolak. Temuan ini mengindikasikan bahwa selama periode 2020–2024 investor pada subsektor telekomunikasi tidak menjadikan tingkat laba sebagai pertimbangan utama dalam menilai perusahaan. Kondisi ini dipengaruhi karakteristik industri telekomunikasi yang padat modal serta tekanan kinerja pada masa pandemi, di mana beberapa perusahaan mengalami penurunan bahkan ROA negatif akibat tingginya belanja infrastruktur dan beban operasional. Dalam situasi tersebut, investor cenderung lebih berfokus</w:t>
      </w:r>
    </w:p>
    <w:p>
      <w:pPr>
        <w:pStyle w:val="BodyText"/>
        <w:spacing w:after="0"/>
        <w:jc w:val="both"/>
        <w:sectPr>
          <w:pgSz w:w="11910" w:h="16840"/>
          <w:pgMar w:header="795" w:footer="0" w:top="2520" w:bottom="280" w:left="1700" w:right="1559"/>
        </w:sectPr>
      </w:pPr>
    </w:p>
    <w:p>
      <w:pPr>
        <w:pStyle w:val="BodyText"/>
      </w:pPr>
    </w:p>
    <w:p>
      <w:pPr>
        <w:pStyle w:val="BodyText"/>
      </w:pPr>
    </w:p>
    <w:p>
      <w:pPr>
        <w:pStyle w:val="BodyText"/>
      </w:pPr>
    </w:p>
    <w:p>
      <w:pPr>
        <w:pStyle w:val="BodyText"/>
      </w:pPr>
    </w:p>
    <w:p>
      <w:pPr>
        <w:pStyle w:val="BodyText"/>
        <w:spacing w:before="11"/>
      </w:pPr>
    </w:p>
    <w:p>
      <w:pPr>
        <w:pStyle w:val="BodyText"/>
        <w:spacing w:line="237" w:lineRule="auto" w:before="1"/>
        <w:ind w:left="568" w:right="137"/>
        <w:jc w:val="both"/>
      </w:pPr>
      <w:r>
        <w:rPr/>
        <w:t>pada ketahanan operasional dan prospek pertumbuhan jangka panjang dibanding laba jangka pendek.</w:t>
      </w:r>
    </w:p>
    <w:p>
      <w:pPr>
        <w:pStyle w:val="BodyText"/>
        <w:spacing w:before="1"/>
        <w:ind w:left="568" w:right="136" w:firstLine="283"/>
        <w:jc w:val="both"/>
      </w:pPr>
      <w:r>
        <w:rPr/>
        <w:t>Sejalan dengan teori sinyal (Spence, 1973), laba hanya menjadi sinyal positif apabila diikuti kejelasan pemanfaatannya. Pada industri telekomunikasi, laba umumnya dialokasikan kembali untuk ekspansi jaringan dan pengembangan teknologi sehingga tidak selalu diterjemahkan sebagai peningkatan nilai pasar. Hasil ini konsisten dengan penelitian Azzura (2024) yang menemukan ROA tidak berpengaruh signifikan terhadap nilai perusahaan, meskipun berbeda dengan temuan Kroy dan Desmiza (2025) yang menunjukkan pengaruh positif, sehingga menegaskan bahwa peran profitabilitas bersifat kontekstual.</w:t>
      </w:r>
    </w:p>
    <w:p>
      <w:pPr>
        <w:pStyle w:val="Heading2"/>
        <w:numPr>
          <w:ilvl w:val="0"/>
          <w:numId w:val="3"/>
        </w:numPr>
        <w:tabs>
          <w:tab w:pos="851" w:val="left" w:leader="none"/>
        </w:tabs>
        <w:spacing w:line="240" w:lineRule="auto" w:before="240" w:after="0"/>
        <w:ind w:left="851" w:right="0" w:hanging="283"/>
        <w:jc w:val="both"/>
      </w:pPr>
      <w:bookmarkStart w:name="2.Likuiditas Berpengaruh Negatif Signifi" w:id="46"/>
      <w:bookmarkEnd w:id="46"/>
      <w:r>
        <w:rPr/>
        <w:t>Lik</w:t>
      </w:r>
      <w:r>
        <w:rPr/>
        <w:t>uiditas</w:t>
      </w:r>
      <w:r>
        <w:rPr>
          <w:spacing w:val="-17"/>
        </w:rPr>
        <w:t> </w:t>
      </w:r>
      <w:r>
        <w:rPr/>
        <w:t>Berpengaruh</w:t>
      </w:r>
      <w:r>
        <w:rPr>
          <w:spacing w:val="-10"/>
        </w:rPr>
        <w:t> </w:t>
      </w:r>
      <w:r>
        <w:rPr/>
        <w:t>Negatif</w:t>
      </w:r>
      <w:r>
        <w:rPr>
          <w:spacing w:val="-9"/>
        </w:rPr>
        <w:t> </w:t>
      </w:r>
      <w:r>
        <w:rPr/>
        <w:t>Signifikan</w:t>
      </w:r>
      <w:r>
        <w:rPr>
          <w:spacing w:val="-15"/>
        </w:rPr>
        <w:t> </w:t>
      </w:r>
      <w:r>
        <w:rPr/>
        <w:t>Terhadap</w:t>
      </w:r>
      <w:r>
        <w:rPr>
          <w:spacing w:val="-15"/>
        </w:rPr>
        <w:t> </w:t>
      </w:r>
      <w:r>
        <w:rPr/>
        <w:t>Nilai</w:t>
      </w:r>
      <w:r>
        <w:rPr>
          <w:spacing w:val="-8"/>
        </w:rPr>
        <w:t> </w:t>
      </w:r>
      <w:r>
        <w:rPr>
          <w:spacing w:val="-2"/>
        </w:rPr>
        <w:t>Perusahaan.</w:t>
      </w:r>
    </w:p>
    <w:p>
      <w:pPr>
        <w:pStyle w:val="BodyText"/>
        <w:ind w:left="568" w:right="137" w:firstLine="283"/>
        <w:jc w:val="both"/>
      </w:pPr>
      <w:r>
        <w:rPr/>
        <w:t>Hasil</w:t>
      </w:r>
      <w:r>
        <w:rPr>
          <w:spacing w:val="-3"/>
        </w:rPr>
        <w:t> </w:t>
      </w:r>
      <w:r>
        <w:rPr/>
        <w:t>regresi</w:t>
      </w:r>
      <w:r>
        <w:rPr>
          <w:spacing w:val="-3"/>
        </w:rPr>
        <w:t> </w:t>
      </w:r>
      <w:r>
        <w:rPr/>
        <w:t>menunjukkan</w:t>
      </w:r>
      <w:r>
        <w:rPr>
          <w:spacing w:val="-1"/>
        </w:rPr>
        <w:t> </w:t>
      </w:r>
      <w:r>
        <w:rPr/>
        <w:t>bahwa</w:t>
      </w:r>
      <w:r>
        <w:rPr>
          <w:spacing w:val="-2"/>
        </w:rPr>
        <w:t> </w:t>
      </w:r>
      <w:r>
        <w:rPr/>
        <w:t>likuiditas (CR)</w:t>
      </w:r>
      <w:r>
        <w:rPr>
          <w:spacing w:val="-6"/>
        </w:rPr>
        <w:t> </w:t>
      </w:r>
      <w:r>
        <w:rPr/>
        <w:t>berpengaruh negatif</w:t>
      </w:r>
      <w:r>
        <w:rPr>
          <w:spacing w:val="-4"/>
        </w:rPr>
        <w:t> </w:t>
      </w:r>
      <w:r>
        <w:rPr/>
        <w:t>terhadap nilai perusahaan, ditunjukkan oleh koefisien beta sebesar −79,890 dengan nilai signifikansi 0,09 (</w:t>
      </w:r>
      <w:r>
        <w:rPr>
          <w:rFonts w:ascii="Cambria Math" w:hAnsi="Cambria Math"/>
        </w:rPr>
        <w:t>≥</w:t>
      </w:r>
      <w:r>
        <w:rPr>
          <w:rFonts w:ascii="Cambria Math" w:hAnsi="Cambria Math"/>
          <w:spacing w:val="40"/>
        </w:rPr>
        <w:t> </w:t>
      </w:r>
      <w:r>
        <w:rPr/>
        <w:t>0,05). Temuan ini menunjukkan arah hubungan berlawanan dengan hipotesis awal dan mengindikasikan bahwa tingkat likuiditas yang tinggi tidak selalu diapresiasi pasar. Dalam industri telekomunikasi yang padat modal, likuiditas tinggi dapat dipersepsikan sebagai indikasi dana menganggur dan</w:t>
      </w:r>
      <w:r>
        <w:rPr>
          <w:spacing w:val="40"/>
        </w:rPr>
        <w:t> </w:t>
      </w:r>
      <w:r>
        <w:rPr/>
        <w:t>kurang optimalnya alokasi modal kerja untuk investasi produktif.</w:t>
      </w:r>
    </w:p>
    <w:p>
      <w:pPr>
        <w:pStyle w:val="BodyText"/>
        <w:spacing w:before="2"/>
        <w:ind w:left="568" w:right="139" w:firstLine="283"/>
        <w:jc w:val="both"/>
      </w:pPr>
      <w:r>
        <w:rPr/>
        <w:t>Pada periode 2020–2024, perusahaan cenderung memprioritaskan belanja modal dan penguatan infrastruktur digital, sehingga investor lebih menghargai efisiensi penggunaan dana dibanding sekadar kemampuan memenuhi kewajiban jangka pendek (Brigham &amp; Houston, 2019). Hasil ini sejalan dengan penelitian Pramudianto dan Waluyo (2024) serta Tambun </w:t>
      </w:r>
      <w:r>
        <w:rPr>
          <w:i/>
        </w:rPr>
        <w:t>et al. </w:t>
      </w:r>
      <w:r>
        <w:rPr/>
        <w:t>(2022) yang menunjukkan bahwa likuiditas tidak selalu berpengaruh positif terhadap nilai perusahaan, khususnya pada sektor dengan kebutuhan investasi jangka panjang yang tinggi.</w:t>
      </w:r>
    </w:p>
    <w:p>
      <w:pPr>
        <w:pStyle w:val="Heading2"/>
        <w:numPr>
          <w:ilvl w:val="0"/>
          <w:numId w:val="3"/>
        </w:numPr>
        <w:tabs>
          <w:tab w:pos="851" w:val="left" w:leader="none"/>
        </w:tabs>
        <w:spacing w:line="240" w:lineRule="auto" w:before="240" w:after="0"/>
        <w:ind w:left="851" w:right="0" w:hanging="283"/>
        <w:jc w:val="both"/>
      </w:pPr>
      <w:bookmarkStart w:name="3.Solvabilitas Berpengaruh Positif Signi" w:id="47"/>
      <w:bookmarkEnd w:id="47"/>
      <w:r>
        <w:rPr/>
        <w:t>Solva</w:t>
      </w:r>
      <w:r>
        <w:rPr/>
        <w:t>bilitas</w:t>
      </w:r>
      <w:r>
        <w:rPr>
          <w:spacing w:val="-15"/>
        </w:rPr>
        <w:t> </w:t>
      </w:r>
      <w:r>
        <w:rPr/>
        <w:t>Berpengaruh</w:t>
      </w:r>
      <w:r>
        <w:rPr>
          <w:spacing w:val="-11"/>
        </w:rPr>
        <w:t> </w:t>
      </w:r>
      <w:r>
        <w:rPr/>
        <w:t>Positif</w:t>
      </w:r>
      <w:r>
        <w:rPr>
          <w:spacing w:val="-8"/>
        </w:rPr>
        <w:t> </w:t>
      </w:r>
      <w:r>
        <w:rPr/>
        <w:t>Signifikan</w:t>
      </w:r>
      <w:r>
        <w:rPr>
          <w:spacing w:val="-15"/>
        </w:rPr>
        <w:t> </w:t>
      </w:r>
      <w:r>
        <w:rPr/>
        <w:t>Terhadap</w:t>
      </w:r>
      <w:r>
        <w:rPr>
          <w:spacing w:val="-12"/>
        </w:rPr>
        <w:t> </w:t>
      </w:r>
      <w:r>
        <w:rPr/>
        <w:t>Nilai</w:t>
      </w:r>
      <w:r>
        <w:rPr>
          <w:spacing w:val="-12"/>
        </w:rPr>
        <w:t> </w:t>
      </w:r>
      <w:r>
        <w:rPr>
          <w:spacing w:val="-2"/>
        </w:rPr>
        <w:t>Perusahaan.</w:t>
      </w:r>
    </w:p>
    <w:p>
      <w:pPr>
        <w:pStyle w:val="BodyText"/>
        <w:ind w:left="568" w:right="136" w:firstLine="283"/>
        <w:jc w:val="both"/>
      </w:pPr>
      <w:r>
        <w:rPr/>
        <w:t>Hasil regresi menunjukkan bahwa solvabilitas (DER) berpengaruh positif signifikan terhadap nilai perusahaan dengan nilai signifikansi 0,001 ( </w:t>
      </w:r>
      <w:r>
        <w:rPr>
          <w:rFonts w:ascii="Cambria Math" w:hAnsi="Cambria Math"/>
        </w:rPr>
        <w:t>≤</w:t>
      </w:r>
      <w:r>
        <w:rPr>
          <w:rFonts w:ascii="Cambria Math" w:hAnsi="Cambria Math"/>
          <w:spacing w:val="40"/>
        </w:rPr>
        <w:t> </w:t>
      </w:r>
      <w:r>
        <w:rPr/>
        <w:t>0,05). Temuan ini menunjukkan bahwa penggunaan utang diapresiasi positif oleh pasar, meskipun arah hubungan berbeda dari hipotesis awal. Dalam industri telekomunikasi yang padat modal, utang menjadi sumber pendanaan strategis untuk mendukung ekspansi jaringan dan pengembangan teknologi, sehingga leverage tidak selalu dipersepsikan sebagai peningkatan risiko.</w:t>
      </w:r>
    </w:p>
    <w:p>
      <w:pPr>
        <w:pStyle w:val="BodyText"/>
        <w:ind w:left="568" w:right="137" w:firstLine="283"/>
        <w:jc w:val="both"/>
      </w:pPr>
      <w:r>
        <w:rPr/>
        <w:t>Sejalan dengan teori sinyal (Spence, 1973), keputusan pendanaan melalui</w:t>
      </w:r>
      <w:r>
        <w:rPr>
          <w:spacing w:val="80"/>
        </w:rPr>
        <w:t> </w:t>
      </w:r>
      <w:r>
        <w:rPr/>
        <w:t>utang dapat menjadi sinyal kepercayaan manajemen terhadap prospek pertumbuhan perusahaan. Hasil ini konsisten dengan penelitian Tambun </w:t>
      </w:r>
      <w:r>
        <w:rPr>
          <w:i/>
        </w:rPr>
        <w:t>et al. </w:t>
      </w:r>
      <w:r>
        <w:rPr/>
        <w:t>(2022) dan Oktaviany &amp; Latif (2021) yang menemukan bahwa DER berpengaruh positif terhadap nilai perusahaan pada subsektor telekomunikasi, terutama ketika utang dimanfaatkan secara produktif untuk meningkatkan kapasitas dan efisiensi </w:t>
      </w:r>
      <w:r>
        <w:rPr>
          <w:spacing w:val="-2"/>
        </w:rPr>
        <w:t>operasional.</w:t>
      </w:r>
    </w:p>
    <w:p>
      <w:pPr>
        <w:pStyle w:val="Heading2"/>
        <w:numPr>
          <w:ilvl w:val="0"/>
          <w:numId w:val="3"/>
        </w:numPr>
        <w:tabs>
          <w:tab w:pos="851" w:val="left" w:leader="none"/>
        </w:tabs>
        <w:spacing w:line="240" w:lineRule="auto" w:before="240" w:after="0"/>
        <w:ind w:left="851" w:right="0" w:hanging="283"/>
        <w:jc w:val="both"/>
      </w:pPr>
      <w:bookmarkStart w:name="4.Pertumbuhan Aset Tidak Berpengaruh Ter" w:id="48"/>
      <w:bookmarkEnd w:id="48"/>
      <w:r>
        <w:rPr/>
        <w:t>P</w:t>
      </w:r>
      <w:r>
        <w:rPr/>
        <w:t>ertumbuhan</w:t>
      </w:r>
      <w:r>
        <w:rPr>
          <w:spacing w:val="-18"/>
        </w:rPr>
        <w:t> </w:t>
      </w:r>
      <w:r>
        <w:rPr/>
        <w:t>Aset</w:t>
      </w:r>
      <w:r>
        <w:rPr>
          <w:spacing w:val="-15"/>
        </w:rPr>
        <w:t> </w:t>
      </w:r>
      <w:r>
        <w:rPr/>
        <w:t>Tidak</w:t>
      </w:r>
      <w:r>
        <w:rPr>
          <w:spacing w:val="-15"/>
        </w:rPr>
        <w:t> </w:t>
      </w:r>
      <w:r>
        <w:rPr/>
        <w:t>Berpengaruh</w:t>
      </w:r>
      <w:r>
        <w:rPr>
          <w:spacing w:val="-15"/>
        </w:rPr>
        <w:t> </w:t>
      </w:r>
      <w:r>
        <w:rPr/>
        <w:t>Terhadap</w:t>
      </w:r>
      <w:r>
        <w:rPr>
          <w:spacing w:val="-15"/>
        </w:rPr>
        <w:t> </w:t>
      </w:r>
      <w:r>
        <w:rPr/>
        <w:t>Nilai</w:t>
      </w:r>
      <w:r>
        <w:rPr>
          <w:spacing w:val="-10"/>
        </w:rPr>
        <w:t> </w:t>
      </w:r>
      <w:r>
        <w:rPr>
          <w:spacing w:val="-2"/>
        </w:rPr>
        <w:t>Perusahaan.</w:t>
      </w:r>
    </w:p>
    <w:p>
      <w:pPr>
        <w:pStyle w:val="BodyText"/>
        <w:ind w:left="568" w:right="139" w:firstLine="283"/>
        <w:jc w:val="both"/>
      </w:pPr>
      <w:r>
        <w:rPr/>
        <w:t>Hasil regresi menunjukkan bahwa pertumbuhan aset tidak berpengaruh signifikan</w:t>
      </w:r>
      <w:r>
        <w:rPr>
          <w:spacing w:val="40"/>
        </w:rPr>
        <w:t> </w:t>
      </w:r>
      <w:r>
        <w:rPr/>
        <w:t>terhadap</w:t>
      </w:r>
      <w:r>
        <w:rPr>
          <w:spacing w:val="40"/>
        </w:rPr>
        <w:t> </w:t>
      </w:r>
      <w:r>
        <w:rPr/>
        <w:t>nilai</w:t>
      </w:r>
      <w:r>
        <w:rPr>
          <w:spacing w:val="40"/>
        </w:rPr>
        <w:t> </w:t>
      </w:r>
      <w:r>
        <w:rPr/>
        <w:t>perusahaan</w:t>
      </w:r>
      <w:r>
        <w:rPr>
          <w:spacing w:val="40"/>
        </w:rPr>
        <w:t> </w:t>
      </w:r>
      <w:r>
        <w:rPr/>
        <w:t>dengan</w:t>
      </w:r>
      <w:r>
        <w:rPr>
          <w:spacing w:val="40"/>
        </w:rPr>
        <w:t> </w:t>
      </w:r>
      <w:r>
        <w:rPr/>
        <w:t>nilai</w:t>
      </w:r>
      <w:r>
        <w:rPr>
          <w:spacing w:val="40"/>
        </w:rPr>
        <w:t> </w:t>
      </w:r>
      <w:r>
        <w:rPr/>
        <w:t>signifikansi</w:t>
      </w:r>
      <w:r>
        <w:rPr>
          <w:spacing w:val="40"/>
        </w:rPr>
        <w:t> </w:t>
      </w:r>
      <w:r>
        <w:rPr/>
        <w:t>0,287</w:t>
      </w:r>
      <w:r>
        <w:rPr>
          <w:spacing w:val="37"/>
        </w:rPr>
        <w:t> </w:t>
      </w:r>
      <w:r>
        <w:rPr/>
        <w:t>(</w:t>
      </w:r>
      <w:r>
        <w:rPr>
          <w:spacing w:val="-15"/>
        </w:rPr>
        <w:t> </w:t>
      </w:r>
      <w:r>
        <w:rPr>
          <w:rFonts w:ascii="Cambria Math" w:hAnsi="Cambria Math"/>
        </w:rPr>
        <w:t>≥</w:t>
      </w:r>
      <w:r>
        <w:rPr>
          <w:rFonts w:ascii="Cambria Math" w:hAnsi="Cambria Math"/>
          <w:spacing w:val="80"/>
        </w:rPr>
        <w:t> </w:t>
      </w:r>
      <w:r>
        <w:rPr/>
        <w:t>0,05),</w:t>
      </w:r>
    </w:p>
    <w:p>
      <w:pPr>
        <w:pStyle w:val="BodyText"/>
        <w:spacing w:after="0"/>
        <w:jc w:val="both"/>
        <w:sectPr>
          <w:pgSz w:w="11910" w:h="16840"/>
          <w:pgMar w:header="795" w:footer="0" w:top="1080" w:bottom="280" w:left="1700" w:right="1559"/>
        </w:sectPr>
      </w:pPr>
    </w:p>
    <w:p>
      <w:pPr>
        <w:pStyle w:val="BodyText"/>
      </w:pPr>
    </w:p>
    <w:p>
      <w:pPr>
        <w:pStyle w:val="BodyText"/>
      </w:pPr>
    </w:p>
    <w:p>
      <w:pPr>
        <w:pStyle w:val="BodyText"/>
      </w:pPr>
    </w:p>
    <w:p>
      <w:pPr>
        <w:pStyle w:val="BodyText"/>
      </w:pPr>
    </w:p>
    <w:p>
      <w:pPr>
        <w:pStyle w:val="BodyText"/>
        <w:spacing w:before="12"/>
      </w:pPr>
    </w:p>
    <w:p>
      <w:pPr>
        <w:pStyle w:val="BodyText"/>
        <w:ind w:left="568" w:right="139"/>
        <w:jc w:val="both"/>
      </w:pPr>
      <w:r>
        <w:rPr/>
        <w:t>sehingga hipotesis ditolak. Hal ini menunjukkan bahwa peningkatan aset belum tentu langsung meningkatkan nilai perusahaan. Pada subsektor telekomunikasi yang padat modal, ekspansi aset umumnya berupa infrastruktur jaringan dengan umur ekonomis panjang dan tingkat depresiasi tinggi, sehingga dampak ekonominya tidak selalu terlihat dalam jangka pendek. Investor cenderung lebih menilai efektivitas pemanfaatan aset dalam menghasilkan kinerja dan arus kas dibandingkan sekadar pertumbuhan kuantitas aset (Brigham &amp; Houston, 2019).</w:t>
      </w:r>
    </w:p>
    <w:p>
      <w:pPr>
        <w:pStyle w:val="BodyText"/>
        <w:ind w:left="568" w:right="139" w:firstLine="283"/>
        <w:jc w:val="both"/>
      </w:pPr>
      <w:r>
        <w:rPr/>
        <w:t>Temuan ini sejalan dengan penelitian Radja &amp; Fidiana (2025), Sastrawan &amp; Yuniarta (2025), serta Winarti &amp; Handayani (2024) yang juga menemukan bahwa pertumbuhan aset tidak berpengaruh signifikan terhadap nilai perusahaan.</w:t>
      </w:r>
    </w:p>
    <w:p>
      <w:pPr>
        <w:pStyle w:val="BodyText"/>
        <w:spacing w:before="158"/>
      </w:pPr>
    </w:p>
    <w:p>
      <w:pPr>
        <w:pStyle w:val="Heading1"/>
      </w:pPr>
      <w:bookmarkStart w:name="KESIMPULAN DAN SARAN" w:id="49"/>
      <w:bookmarkEnd w:id="49"/>
      <w:r>
        <w:rPr>
          <w:b w:val="0"/>
        </w:rPr>
      </w:r>
      <w:r>
        <w:rPr/>
        <w:t>KESIMPULAN</w:t>
      </w:r>
      <w:r>
        <w:rPr>
          <w:spacing w:val="-10"/>
        </w:rPr>
        <w:t> </w:t>
      </w:r>
      <w:r>
        <w:rPr/>
        <w:t>DAN</w:t>
      </w:r>
      <w:r>
        <w:rPr>
          <w:spacing w:val="-5"/>
        </w:rPr>
        <w:t> </w:t>
      </w:r>
      <w:r>
        <w:rPr>
          <w:spacing w:val="-4"/>
        </w:rPr>
        <w:t>SARAN</w:t>
      </w:r>
    </w:p>
    <w:p>
      <w:pPr>
        <w:pStyle w:val="BodyText"/>
        <w:ind w:left="568" w:right="137" w:firstLine="566"/>
        <w:jc w:val="both"/>
      </w:pPr>
      <w:r>
        <w:rPr/>
        <w:t>Berdasarkan hasil analisis regresi dan pengujian hipotesis pada perusahaan subsektor telekomunikasi yang tercatat di BEI periode 2020–2024, tidak seluruh variabel</w:t>
      </w:r>
      <w:r>
        <w:rPr>
          <w:spacing w:val="-1"/>
        </w:rPr>
        <w:t> </w:t>
      </w:r>
      <w:r>
        <w:rPr/>
        <w:t>keuangan berpengaruh signifikan terhadap nilai</w:t>
      </w:r>
      <w:r>
        <w:rPr>
          <w:spacing w:val="-4"/>
        </w:rPr>
        <w:t> </w:t>
      </w:r>
      <w:r>
        <w:rPr/>
        <w:t>perusahaan. Profitabilitas (ROA) tidak berpengaruh signifikan, yang menunjukkan bahwa kemampuan menghasilkan laba belum menjadi pertimbangan utama investor pada industri padat modal. Likuiditas (CR) berpengaruh signifikan negatif, mengindikasikan bahwa tingkat likuiditas yang terlalu tinggi dipersepsikan sebagai kurang optimalnya pemanfaatan aset lancar. Solvabilitas (DER) berpengaruh signifikan positif, menandakan bahwa penggunaan utang yang produktif dipandang mampu mendukung pertumbuhan dan efisiensi operasional. Sementara itu, pertumbuhan aset tidak berpengaruh signifikan, yang menunjukkan bahwa peningkatan aset belum tentu meningkatkan nilai perusahaan tanpa diiringi efektivitas </w:t>
      </w:r>
      <w:r>
        <w:rPr>
          <w:spacing w:val="-2"/>
        </w:rPr>
        <w:t>pemanfaatannya.</w:t>
      </w:r>
    </w:p>
    <w:p>
      <w:pPr>
        <w:pStyle w:val="BodyText"/>
        <w:spacing w:before="1"/>
        <w:ind w:left="568" w:right="137" w:firstLine="566"/>
        <w:jc w:val="both"/>
      </w:pPr>
      <w:r>
        <w:rPr/>
        <w:t>Penelitian</w:t>
      </w:r>
      <w:r>
        <w:rPr>
          <w:spacing w:val="-4"/>
        </w:rPr>
        <w:t> </w:t>
      </w:r>
      <w:r>
        <w:rPr/>
        <w:t>selanjutnya disarankan untuk</w:t>
      </w:r>
      <w:r>
        <w:rPr>
          <w:spacing w:val="-6"/>
        </w:rPr>
        <w:t> </w:t>
      </w:r>
      <w:r>
        <w:rPr/>
        <w:t>memperluas cakupan</w:t>
      </w:r>
      <w:r>
        <w:rPr>
          <w:spacing w:val="-3"/>
        </w:rPr>
        <w:t> </w:t>
      </w:r>
      <w:r>
        <w:rPr/>
        <w:t>subsektor</w:t>
      </w:r>
      <w:r>
        <w:rPr>
          <w:spacing w:val="-5"/>
        </w:rPr>
        <w:t> </w:t>
      </w:r>
      <w:r>
        <w:rPr/>
        <w:t>atau sektor agar hasilnya lebih umum dan mampu menggambarkan faktor yang memengaruhi minat investor secara lebih luas. Selain itu, peneliti berikutnya</w:t>
      </w:r>
      <w:r>
        <w:rPr>
          <w:spacing w:val="80"/>
        </w:rPr>
        <w:t> </w:t>
      </w:r>
      <w:r>
        <w:rPr/>
        <w:t>dapat menambahkan variabel lain seperti kebijakan dividen, ukuran perusahaan, struktur kepemilikan, arus kas, dan faktor makroekonomi. Penggunaan metode analisis yang lebih beragam, termasuk model data panel lanjutan serta pengujian variabel mediasi atau moderasi, juga dianjurkan agar diperoleh hasil yang lebih </w:t>
      </w:r>
      <w:r>
        <w:rPr>
          <w:spacing w:val="-2"/>
        </w:rPr>
        <w:t>komprehensif.</w:t>
      </w:r>
    </w:p>
    <w:p>
      <w:pPr>
        <w:pStyle w:val="BodyText"/>
        <w:spacing w:before="161"/>
      </w:pPr>
    </w:p>
    <w:p>
      <w:pPr>
        <w:pStyle w:val="Heading1"/>
      </w:pPr>
      <w:bookmarkStart w:name="DAFTAR PUSTAKA" w:id="50"/>
      <w:bookmarkEnd w:id="50"/>
      <w:r>
        <w:rPr>
          <w:b w:val="0"/>
        </w:rPr>
      </w:r>
      <w:r>
        <w:rPr>
          <w:spacing w:val="-2"/>
        </w:rPr>
        <w:t>DAFTAR</w:t>
      </w:r>
      <w:r>
        <w:rPr>
          <w:spacing w:val="-13"/>
        </w:rPr>
        <w:t> </w:t>
      </w:r>
      <w:r>
        <w:rPr>
          <w:spacing w:val="-2"/>
        </w:rPr>
        <w:t>PUSTAKA</w:t>
      </w:r>
    </w:p>
    <w:p>
      <w:pPr>
        <w:spacing w:line="242" w:lineRule="auto" w:before="197"/>
        <w:ind w:left="992" w:right="138" w:hanging="401"/>
        <w:jc w:val="both"/>
        <w:rPr>
          <w:sz w:val="24"/>
        </w:rPr>
      </w:pPr>
      <w:r>
        <w:rPr>
          <w:sz w:val="24"/>
        </w:rPr>
        <w:t>Azzura, J. D. (2024). Pengaruh </w:t>
      </w:r>
      <w:r>
        <w:rPr>
          <w:i/>
          <w:sz w:val="24"/>
        </w:rPr>
        <w:t>Return On Assets </w:t>
      </w:r>
      <w:r>
        <w:rPr>
          <w:sz w:val="24"/>
        </w:rPr>
        <w:t>(ROA), </w:t>
      </w:r>
      <w:r>
        <w:rPr>
          <w:i/>
          <w:sz w:val="24"/>
        </w:rPr>
        <w:t>Debt To Equity Ratio </w:t>
      </w:r>
      <w:r>
        <w:rPr>
          <w:sz w:val="24"/>
        </w:rPr>
        <w:t>(DER), Pertumbuhan Aset Dan Ukuran Perusahaan Terhadap Nilai Perusahaan (Studi Kasus Pada Perusahaan Sub Sektor Telekomunikasi Yang Terdaftar Di Bursa Efek Indonesia Periode 2020–2022). </w:t>
      </w:r>
      <w:r>
        <w:rPr>
          <w:i/>
          <w:sz w:val="24"/>
        </w:rPr>
        <w:t>Jurnal Ekonomi dan Ilmu Sosial (JEIS)</w:t>
      </w:r>
      <w:r>
        <w:rPr>
          <w:sz w:val="24"/>
        </w:rPr>
        <w:t>, </w:t>
      </w:r>
      <w:r>
        <w:rPr>
          <w:i/>
          <w:sz w:val="24"/>
        </w:rPr>
        <w:t>3</w:t>
      </w:r>
      <w:r>
        <w:rPr>
          <w:sz w:val="24"/>
        </w:rPr>
        <w:t>(2), 303–315.</w:t>
      </w:r>
    </w:p>
    <w:p>
      <w:pPr>
        <w:spacing w:before="0"/>
        <w:ind w:left="992" w:right="141" w:hanging="425"/>
        <w:jc w:val="both"/>
        <w:rPr>
          <w:sz w:val="24"/>
        </w:rPr>
      </w:pPr>
      <w:r>
        <w:rPr>
          <w:sz w:val="24"/>
        </w:rPr>
        <w:t>Brigham,</w:t>
      </w:r>
      <w:r>
        <w:rPr>
          <w:spacing w:val="-7"/>
          <w:sz w:val="24"/>
        </w:rPr>
        <w:t> </w:t>
      </w:r>
      <w:r>
        <w:rPr>
          <w:sz w:val="24"/>
        </w:rPr>
        <w:t>E.</w:t>
      </w:r>
      <w:r>
        <w:rPr>
          <w:spacing w:val="-4"/>
          <w:sz w:val="24"/>
        </w:rPr>
        <w:t> </w:t>
      </w:r>
      <w:r>
        <w:rPr>
          <w:sz w:val="24"/>
        </w:rPr>
        <w:t>F.,</w:t>
      </w:r>
      <w:r>
        <w:rPr>
          <w:spacing w:val="-2"/>
          <w:sz w:val="24"/>
        </w:rPr>
        <w:t> </w:t>
      </w:r>
      <w:r>
        <w:rPr>
          <w:sz w:val="24"/>
        </w:rPr>
        <w:t>&amp;</w:t>
      </w:r>
      <w:r>
        <w:rPr>
          <w:spacing w:val="-6"/>
          <w:sz w:val="24"/>
        </w:rPr>
        <w:t> </w:t>
      </w:r>
      <w:r>
        <w:rPr>
          <w:sz w:val="24"/>
        </w:rPr>
        <w:t>Houston,</w:t>
      </w:r>
      <w:r>
        <w:rPr>
          <w:spacing w:val="-4"/>
          <w:sz w:val="24"/>
        </w:rPr>
        <w:t> </w:t>
      </w:r>
      <w:r>
        <w:rPr>
          <w:sz w:val="24"/>
        </w:rPr>
        <w:t>J.</w:t>
      </w:r>
      <w:r>
        <w:rPr>
          <w:spacing w:val="-7"/>
          <w:sz w:val="24"/>
        </w:rPr>
        <w:t> </w:t>
      </w:r>
      <w:r>
        <w:rPr>
          <w:sz w:val="24"/>
        </w:rPr>
        <w:t>F.</w:t>
      </w:r>
      <w:r>
        <w:rPr>
          <w:spacing w:val="-4"/>
          <w:sz w:val="24"/>
        </w:rPr>
        <w:t> </w:t>
      </w:r>
      <w:r>
        <w:rPr>
          <w:sz w:val="24"/>
        </w:rPr>
        <w:t>(2019).</w:t>
      </w:r>
      <w:r>
        <w:rPr>
          <w:spacing w:val="-4"/>
          <w:sz w:val="24"/>
        </w:rPr>
        <w:t> </w:t>
      </w:r>
      <w:r>
        <w:rPr>
          <w:i/>
          <w:sz w:val="24"/>
        </w:rPr>
        <w:t>Fundamentals</w:t>
      </w:r>
      <w:r>
        <w:rPr>
          <w:i/>
          <w:spacing w:val="-4"/>
          <w:sz w:val="24"/>
        </w:rPr>
        <w:t> </w:t>
      </w:r>
      <w:r>
        <w:rPr>
          <w:i/>
          <w:sz w:val="24"/>
        </w:rPr>
        <w:t>of</w:t>
      </w:r>
      <w:r>
        <w:rPr>
          <w:i/>
          <w:spacing w:val="-4"/>
          <w:sz w:val="24"/>
        </w:rPr>
        <w:t> </w:t>
      </w:r>
      <w:r>
        <w:rPr>
          <w:i/>
          <w:sz w:val="24"/>
        </w:rPr>
        <w:t>Financial</w:t>
      </w:r>
      <w:r>
        <w:rPr>
          <w:i/>
          <w:spacing w:val="-6"/>
          <w:sz w:val="24"/>
        </w:rPr>
        <w:t> </w:t>
      </w:r>
      <w:r>
        <w:rPr>
          <w:i/>
          <w:sz w:val="24"/>
        </w:rPr>
        <w:t>Management: Concise by Cengage. Cengage Learning</w:t>
      </w:r>
      <w:r>
        <w:rPr>
          <w:sz w:val="24"/>
        </w:rPr>
        <w:t>.</w:t>
      </w:r>
    </w:p>
    <w:p>
      <w:pPr>
        <w:spacing w:line="271" w:lineRule="exact" w:before="0"/>
        <w:ind w:left="568" w:right="0" w:firstLine="0"/>
        <w:jc w:val="both"/>
        <w:rPr>
          <w:sz w:val="24"/>
        </w:rPr>
      </w:pPr>
      <w:r>
        <w:rPr>
          <w:sz w:val="24"/>
        </w:rPr>
        <w:t>Ghozali, I.</w:t>
      </w:r>
      <w:r>
        <w:rPr>
          <w:spacing w:val="12"/>
          <w:sz w:val="24"/>
        </w:rPr>
        <w:t> </w:t>
      </w:r>
      <w:r>
        <w:rPr>
          <w:sz w:val="24"/>
        </w:rPr>
        <w:t>(2021).</w:t>
      </w:r>
      <w:r>
        <w:rPr>
          <w:spacing w:val="12"/>
          <w:sz w:val="24"/>
        </w:rPr>
        <w:t> </w:t>
      </w:r>
      <w:r>
        <w:rPr>
          <w:i/>
          <w:sz w:val="24"/>
        </w:rPr>
        <w:t>Aplikasi</w:t>
      </w:r>
      <w:r>
        <w:rPr>
          <w:i/>
          <w:spacing w:val="4"/>
          <w:sz w:val="24"/>
        </w:rPr>
        <w:t> </w:t>
      </w:r>
      <w:r>
        <w:rPr>
          <w:i/>
          <w:sz w:val="24"/>
        </w:rPr>
        <w:t>Analisis Multivariate</w:t>
      </w:r>
      <w:r>
        <w:rPr>
          <w:i/>
          <w:spacing w:val="6"/>
          <w:sz w:val="24"/>
        </w:rPr>
        <w:t> </w:t>
      </w:r>
      <w:r>
        <w:rPr>
          <w:i/>
          <w:sz w:val="24"/>
        </w:rPr>
        <w:t>dengan</w:t>
      </w:r>
      <w:r>
        <w:rPr>
          <w:i/>
          <w:spacing w:val="11"/>
          <w:sz w:val="24"/>
        </w:rPr>
        <w:t> </w:t>
      </w:r>
      <w:r>
        <w:rPr>
          <w:i/>
          <w:sz w:val="24"/>
        </w:rPr>
        <w:t>Program</w:t>
      </w:r>
      <w:r>
        <w:rPr>
          <w:i/>
          <w:spacing w:val="7"/>
          <w:sz w:val="24"/>
        </w:rPr>
        <w:t> </w:t>
      </w:r>
      <w:r>
        <w:rPr>
          <w:i/>
          <w:sz w:val="24"/>
        </w:rPr>
        <w:t>IBM</w:t>
      </w:r>
      <w:r>
        <w:rPr>
          <w:i/>
          <w:spacing w:val="6"/>
          <w:sz w:val="24"/>
        </w:rPr>
        <w:t> </w:t>
      </w:r>
      <w:r>
        <w:rPr>
          <w:i/>
          <w:sz w:val="24"/>
        </w:rPr>
        <w:t>SPSS</w:t>
      </w:r>
      <w:r>
        <w:rPr>
          <w:i/>
          <w:spacing w:val="10"/>
          <w:sz w:val="24"/>
        </w:rPr>
        <w:t> </w:t>
      </w:r>
      <w:r>
        <w:rPr>
          <w:i/>
          <w:spacing w:val="-5"/>
          <w:sz w:val="24"/>
        </w:rPr>
        <w:t>26</w:t>
      </w:r>
      <w:r>
        <w:rPr>
          <w:spacing w:val="-5"/>
          <w:sz w:val="24"/>
        </w:rPr>
        <w:t>.</w:t>
      </w:r>
    </w:p>
    <w:p>
      <w:pPr>
        <w:pStyle w:val="BodyText"/>
        <w:ind w:left="992"/>
        <w:jc w:val="both"/>
      </w:pPr>
      <w:r>
        <w:rPr/>
        <w:t>Universitas</w:t>
      </w:r>
      <w:r>
        <w:rPr>
          <w:spacing w:val="-7"/>
        </w:rPr>
        <w:t> </w:t>
      </w:r>
      <w:r>
        <w:rPr>
          <w:spacing w:val="-2"/>
        </w:rPr>
        <w:t>Diponegoro.</w:t>
      </w:r>
    </w:p>
    <w:p>
      <w:pPr>
        <w:pStyle w:val="BodyText"/>
        <w:spacing w:after="0"/>
        <w:jc w:val="both"/>
        <w:sectPr>
          <w:headerReference w:type="default" r:id="rId15"/>
          <w:headerReference w:type="even" r:id="rId16"/>
          <w:pgSz w:w="11910" w:h="16840"/>
          <w:pgMar w:header="795" w:footer="0" w:top="1080" w:bottom="280" w:left="1700" w:right="1559"/>
          <w:pgNumType w:start="29"/>
        </w:sectPr>
      </w:pPr>
    </w:p>
    <w:p>
      <w:pPr>
        <w:pStyle w:val="BodyText"/>
      </w:pPr>
    </w:p>
    <w:p>
      <w:pPr>
        <w:pStyle w:val="BodyText"/>
      </w:pPr>
    </w:p>
    <w:p>
      <w:pPr>
        <w:pStyle w:val="BodyText"/>
      </w:pPr>
    </w:p>
    <w:p>
      <w:pPr>
        <w:pStyle w:val="BodyText"/>
      </w:pPr>
    </w:p>
    <w:p>
      <w:pPr>
        <w:pStyle w:val="BodyText"/>
        <w:spacing w:before="11"/>
      </w:pPr>
    </w:p>
    <w:p>
      <w:pPr>
        <w:spacing w:line="237" w:lineRule="auto" w:before="1"/>
        <w:ind w:left="992" w:right="139" w:hanging="425"/>
        <w:jc w:val="both"/>
        <w:rPr>
          <w:sz w:val="24"/>
        </w:rPr>
      </w:pPr>
      <w:r>
        <w:rPr>
          <w:sz w:val="24"/>
        </w:rPr>
        <w:t>Gitman, L. J., &amp; Zutter, C. J. (2015). </w:t>
      </w:r>
      <w:r>
        <w:rPr>
          <w:i/>
          <w:sz w:val="24"/>
        </w:rPr>
        <w:t>Principles of Managerial Finance, 14th edition</w:t>
      </w:r>
      <w:r>
        <w:rPr>
          <w:sz w:val="24"/>
        </w:rPr>
        <w:t>. Pearson Education.</w:t>
      </w:r>
    </w:p>
    <w:p>
      <w:pPr>
        <w:spacing w:before="1"/>
        <w:ind w:left="992" w:right="139" w:hanging="425"/>
        <w:jc w:val="both"/>
        <w:rPr>
          <w:sz w:val="24"/>
        </w:rPr>
      </w:pPr>
      <w:r>
        <w:rPr>
          <w:sz w:val="24"/>
        </w:rPr>
        <w:t>Kasmir. (2019). </w:t>
      </w:r>
      <w:r>
        <w:rPr>
          <w:i/>
          <w:sz w:val="24"/>
        </w:rPr>
        <w:t>Analisis Laporan Keuangan</w:t>
      </w:r>
      <w:r>
        <w:rPr>
          <w:sz w:val="24"/>
        </w:rPr>
        <w:t>. Edisi Revisi, Cetakan 11. Rajawali Pers, Depok.</w:t>
      </w:r>
    </w:p>
    <w:p>
      <w:pPr>
        <w:spacing w:before="0"/>
        <w:ind w:left="992" w:right="139" w:hanging="425"/>
        <w:jc w:val="both"/>
        <w:rPr>
          <w:sz w:val="24"/>
        </w:rPr>
      </w:pPr>
      <w:r>
        <w:rPr>
          <w:sz w:val="24"/>
        </w:rPr>
        <w:t>Kroy, M., &amp; Desmiza, D. (2025).</w:t>
      </w:r>
      <w:r>
        <w:rPr>
          <w:spacing w:val="40"/>
          <w:sz w:val="24"/>
        </w:rPr>
        <w:t> </w:t>
      </w:r>
      <w:r>
        <w:rPr>
          <w:i/>
          <w:sz w:val="24"/>
        </w:rPr>
        <w:t>Moneta: Journal of Economics and Finance</w:t>
      </w:r>
      <w:r>
        <w:rPr>
          <w:sz w:val="24"/>
        </w:rPr>
        <w:t>, </w:t>
      </w:r>
      <w:r>
        <w:rPr>
          <w:i/>
          <w:sz w:val="24"/>
        </w:rPr>
        <w:t>3</w:t>
      </w:r>
      <w:r>
        <w:rPr>
          <w:sz w:val="24"/>
        </w:rPr>
        <w:t>(4), 1–18. </w:t>
      </w:r>
      <w:hyperlink r:id="rId17">
        <w:r>
          <w:rPr>
            <w:color w:val="0561C1"/>
            <w:sz w:val="24"/>
            <w:u w:val="single" w:color="0561C1"/>
          </w:rPr>
          <w:t>https://doi.org/10.61978/moneta.v3i4.726</w:t>
        </w:r>
      </w:hyperlink>
    </w:p>
    <w:p>
      <w:pPr>
        <w:spacing w:before="0"/>
        <w:ind w:left="992" w:right="141" w:hanging="425"/>
        <w:jc w:val="both"/>
        <w:rPr>
          <w:sz w:val="24"/>
        </w:rPr>
      </w:pPr>
      <w:r>
        <w:rPr>
          <w:sz w:val="24"/>
        </w:rPr>
        <w:t>Liputan 6. (2021,</w:t>
      </w:r>
      <w:r>
        <w:rPr>
          <w:spacing w:val="-4"/>
          <w:sz w:val="24"/>
        </w:rPr>
        <w:t> </w:t>
      </w:r>
      <w:r>
        <w:rPr>
          <w:sz w:val="24"/>
        </w:rPr>
        <w:t>Agustus 17). </w:t>
      </w:r>
      <w:r>
        <w:rPr>
          <w:i/>
          <w:sz w:val="24"/>
        </w:rPr>
        <w:t>Transaksi Merger Indosat-Tri Indonesia Capai Rp 85,60 Triliun</w:t>
      </w:r>
      <w:r>
        <w:rPr>
          <w:sz w:val="24"/>
        </w:rPr>
        <w:t>. Liputan 6. </w:t>
      </w:r>
      <w:hyperlink r:id="rId18">
        <w:r>
          <w:rPr>
            <w:color w:val="0561C1"/>
            <w:sz w:val="24"/>
            <w:u w:val="single" w:color="0561C1"/>
          </w:rPr>
          <w:t>https://www.liputan6.com/saham/read/</w:t>
        </w:r>
      </w:hyperlink>
    </w:p>
    <w:p>
      <w:pPr>
        <w:spacing w:before="0"/>
        <w:ind w:left="992" w:right="138" w:hanging="425"/>
        <w:jc w:val="both"/>
        <w:rPr>
          <w:sz w:val="24"/>
        </w:rPr>
      </w:pPr>
      <w:r>
        <w:rPr>
          <w:sz w:val="24"/>
        </w:rPr>
        <w:t>Mulyono, F. A. P., &amp; Triyonowati, T. (2024). Pengaruh CR, ROA, DER Dan TATO Terhadap Nilai Perusahaan Telekomunikasi Di BEI. </w:t>
      </w:r>
      <w:r>
        <w:rPr>
          <w:i/>
          <w:sz w:val="24"/>
        </w:rPr>
        <w:t>Jurnal Ilmu dan Riset Manajemen (JIRM)</w:t>
      </w:r>
      <w:r>
        <w:rPr>
          <w:sz w:val="24"/>
        </w:rPr>
        <w:t>, </w:t>
      </w:r>
      <w:r>
        <w:rPr>
          <w:i/>
          <w:sz w:val="24"/>
        </w:rPr>
        <w:t>13</w:t>
      </w:r>
      <w:r>
        <w:rPr>
          <w:sz w:val="24"/>
        </w:rPr>
        <w:t>(9).</w:t>
      </w:r>
    </w:p>
    <w:p>
      <w:pPr>
        <w:spacing w:before="0"/>
        <w:ind w:left="992" w:right="138" w:hanging="425"/>
        <w:jc w:val="both"/>
        <w:rPr>
          <w:sz w:val="24"/>
        </w:rPr>
      </w:pPr>
      <w:r>
        <w:rPr>
          <w:sz w:val="24"/>
        </w:rPr>
        <w:t>Oktaviany, A., &amp; Latif, D. M. (2021). </w:t>
      </w:r>
      <w:r>
        <w:rPr>
          <w:i/>
          <w:sz w:val="24"/>
        </w:rPr>
        <w:t>Determinants of Firm Value: A Study on Telecommunication Companies in Indonesia. Indonesian Journal of Applied Accounting and Finance</w:t>
      </w:r>
      <w:r>
        <w:rPr>
          <w:sz w:val="24"/>
        </w:rPr>
        <w:t>, </w:t>
      </w:r>
      <w:r>
        <w:rPr>
          <w:i/>
          <w:sz w:val="24"/>
        </w:rPr>
        <w:t>1</w:t>
      </w:r>
      <w:r>
        <w:rPr>
          <w:sz w:val="24"/>
        </w:rPr>
        <w:t>(1), 1–15.</w:t>
      </w:r>
    </w:p>
    <w:p>
      <w:pPr>
        <w:pStyle w:val="BodyText"/>
        <w:ind w:left="992" w:right="137" w:hanging="425"/>
        <w:jc w:val="both"/>
      </w:pPr>
      <w:r>
        <w:rPr/>
        <w:t>Paramita,</w:t>
      </w:r>
      <w:r>
        <w:rPr>
          <w:spacing w:val="-4"/>
        </w:rPr>
        <w:t> </w:t>
      </w:r>
      <w:r>
        <w:rPr/>
        <w:t>N.</w:t>
      </w:r>
      <w:r>
        <w:rPr>
          <w:spacing w:val="-4"/>
        </w:rPr>
        <w:t> </w:t>
      </w:r>
      <w:r>
        <w:rPr/>
        <w:t>N.,</w:t>
      </w:r>
      <w:r>
        <w:rPr>
          <w:spacing w:val="-4"/>
        </w:rPr>
        <w:t> </w:t>
      </w:r>
      <w:r>
        <w:rPr/>
        <w:t>&amp;</w:t>
      </w:r>
      <w:r>
        <w:rPr>
          <w:spacing w:val="-15"/>
        </w:rPr>
        <w:t> </w:t>
      </w:r>
      <w:r>
        <w:rPr/>
        <w:t>Aminah,</w:t>
      </w:r>
      <w:r>
        <w:rPr>
          <w:spacing w:val="-7"/>
        </w:rPr>
        <w:t> </w:t>
      </w:r>
      <w:r>
        <w:rPr/>
        <w:t>W.</w:t>
      </w:r>
      <w:r>
        <w:rPr>
          <w:spacing w:val="-7"/>
        </w:rPr>
        <w:t> </w:t>
      </w:r>
      <w:r>
        <w:rPr/>
        <w:t>(2024).</w:t>
      </w:r>
      <w:r>
        <w:rPr>
          <w:spacing w:val="-14"/>
        </w:rPr>
        <w:t> </w:t>
      </w:r>
      <w:r>
        <w:rPr/>
        <w:t>Analisis</w:t>
      </w:r>
      <w:r>
        <w:rPr>
          <w:spacing w:val="-7"/>
        </w:rPr>
        <w:t> </w:t>
      </w:r>
      <w:r>
        <w:rPr/>
        <w:t>Kinerja</w:t>
      </w:r>
      <w:r>
        <w:rPr>
          <w:spacing w:val="-1"/>
        </w:rPr>
        <w:t> </w:t>
      </w:r>
      <w:r>
        <w:rPr/>
        <w:t>Keuangan</w:t>
      </w:r>
      <w:r>
        <w:rPr>
          <w:spacing w:val="-4"/>
        </w:rPr>
        <w:t> </w:t>
      </w:r>
      <w:r>
        <w:rPr/>
        <w:t>Terhadap</w:t>
      </w:r>
      <w:r>
        <w:rPr>
          <w:spacing w:val="-2"/>
        </w:rPr>
        <w:t> </w:t>
      </w:r>
      <w:r>
        <w:rPr/>
        <w:t>Nilai Perusahaan (Studi Kasus Pada Perusahaan Sub Sektor Telekomunikasi Di Bursa Efek Indonesia Periode 2019–2021). </w:t>
      </w:r>
      <w:r>
        <w:rPr>
          <w:i/>
        </w:rPr>
        <w:t>eProceedings of Management</w:t>
      </w:r>
      <w:r>
        <w:rPr/>
        <w:t>, </w:t>
      </w:r>
      <w:r>
        <w:rPr>
          <w:i/>
          <w:spacing w:val="-2"/>
        </w:rPr>
        <w:t>11</w:t>
      </w:r>
      <w:r>
        <w:rPr>
          <w:spacing w:val="-2"/>
        </w:rPr>
        <w:t>(1).</w:t>
      </w:r>
    </w:p>
    <w:p>
      <w:pPr>
        <w:pStyle w:val="BodyText"/>
        <w:ind w:left="992" w:right="139" w:hanging="425"/>
        <w:jc w:val="both"/>
      </w:pPr>
      <w:r>
        <w:rPr/>
        <w:t>Pramudianto, C. B., &amp; Waluyo, D. E. (2024). Pengaruh Profitabilitas, Likuiditas, Struktur Modal dan Solvabilitas Terhadap Nilai Perusahaan Telekomunikasi Dengan Covid-19 Sebagai Variabel Control. </w:t>
      </w:r>
      <w:r>
        <w:rPr>
          <w:i/>
        </w:rPr>
        <w:t>Dinamika: Jurnal Manajemen Sosial Ekonomi</w:t>
      </w:r>
      <w:r>
        <w:rPr/>
        <w:t>, </w:t>
      </w:r>
      <w:r>
        <w:rPr>
          <w:i/>
        </w:rPr>
        <w:t>4</w:t>
      </w:r>
      <w:r>
        <w:rPr/>
        <w:t>(1), 159–170.</w:t>
      </w:r>
    </w:p>
    <w:p>
      <w:pPr>
        <w:pStyle w:val="BodyText"/>
        <w:ind w:left="568"/>
        <w:jc w:val="both"/>
      </w:pPr>
      <w:r>
        <w:rPr/>
        <w:t>Priatna,</w:t>
      </w:r>
      <w:r>
        <w:rPr>
          <w:spacing w:val="16"/>
        </w:rPr>
        <w:t> </w:t>
      </w:r>
      <w:r>
        <w:rPr/>
        <w:t>H.</w:t>
      </w:r>
      <w:r>
        <w:rPr>
          <w:spacing w:val="29"/>
        </w:rPr>
        <w:t> </w:t>
      </w:r>
      <w:r>
        <w:rPr/>
        <w:t>(2016).</w:t>
      </w:r>
      <w:r>
        <w:rPr>
          <w:spacing w:val="23"/>
        </w:rPr>
        <w:t> </w:t>
      </w:r>
      <w:r>
        <w:rPr/>
        <w:t>Pengukuran</w:t>
      </w:r>
      <w:r>
        <w:rPr>
          <w:spacing w:val="26"/>
        </w:rPr>
        <w:t> </w:t>
      </w:r>
      <w:r>
        <w:rPr/>
        <w:t>Kinerja</w:t>
      </w:r>
      <w:r>
        <w:rPr>
          <w:spacing w:val="27"/>
        </w:rPr>
        <w:t> </w:t>
      </w:r>
      <w:r>
        <w:rPr/>
        <w:t>Perusahaan</w:t>
      </w:r>
      <w:r>
        <w:rPr>
          <w:spacing w:val="24"/>
        </w:rPr>
        <w:t> </w:t>
      </w:r>
      <w:r>
        <w:rPr/>
        <w:t>Dengan</w:t>
      </w:r>
      <w:r>
        <w:rPr>
          <w:spacing w:val="28"/>
        </w:rPr>
        <w:t> </w:t>
      </w:r>
      <w:r>
        <w:rPr/>
        <w:t>Rasio</w:t>
      </w:r>
      <w:r>
        <w:rPr>
          <w:spacing w:val="22"/>
        </w:rPr>
        <w:t> </w:t>
      </w:r>
      <w:r>
        <w:rPr>
          <w:spacing w:val="-2"/>
        </w:rPr>
        <w:t>Profitabilitas.</w:t>
      </w:r>
    </w:p>
    <w:p>
      <w:pPr>
        <w:spacing w:before="0"/>
        <w:ind w:left="992" w:right="0" w:firstLine="0"/>
        <w:jc w:val="both"/>
        <w:rPr>
          <w:sz w:val="24"/>
        </w:rPr>
      </w:pPr>
      <w:r>
        <w:rPr>
          <w:i/>
          <w:sz w:val="24"/>
        </w:rPr>
        <w:t>Akurat|</w:t>
      </w:r>
      <w:r>
        <w:rPr>
          <w:i/>
          <w:spacing w:val="-6"/>
          <w:sz w:val="24"/>
        </w:rPr>
        <w:t> </w:t>
      </w:r>
      <w:r>
        <w:rPr>
          <w:i/>
          <w:sz w:val="24"/>
        </w:rPr>
        <w:t>Jurnal</w:t>
      </w:r>
      <w:r>
        <w:rPr>
          <w:i/>
          <w:spacing w:val="-4"/>
          <w:sz w:val="24"/>
        </w:rPr>
        <w:t> </w:t>
      </w:r>
      <w:r>
        <w:rPr>
          <w:i/>
          <w:sz w:val="24"/>
        </w:rPr>
        <w:t>Ilmiah</w:t>
      </w:r>
      <w:r>
        <w:rPr>
          <w:i/>
          <w:spacing w:val="-6"/>
          <w:sz w:val="24"/>
        </w:rPr>
        <w:t> </w:t>
      </w:r>
      <w:r>
        <w:rPr>
          <w:i/>
          <w:sz w:val="24"/>
        </w:rPr>
        <w:t>Akuntansi</w:t>
      </w:r>
      <w:r>
        <w:rPr>
          <w:i/>
          <w:spacing w:val="-4"/>
          <w:sz w:val="24"/>
        </w:rPr>
        <w:t> </w:t>
      </w:r>
      <w:r>
        <w:rPr>
          <w:i/>
          <w:sz w:val="24"/>
        </w:rPr>
        <w:t>FE</w:t>
      </w:r>
      <w:r>
        <w:rPr>
          <w:i/>
          <w:spacing w:val="-2"/>
          <w:sz w:val="24"/>
        </w:rPr>
        <w:t> </w:t>
      </w:r>
      <w:r>
        <w:rPr>
          <w:i/>
          <w:sz w:val="24"/>
        </w:rPr>
        <w:t>Unibba</w:t>
      </w:r>
      <w:r>
        <w:rPr>
          <w:sz w:val="24"/>
        </w:rPr>
        <w:t>,</w:t>
      </w:r>
      <w:r>
        <w:rPr>
          <w:spacing w:val="-2"/>
          <w:sz w:val="24"/>
        </w:rPr>
        <w:t> </w:t>
      </w:r>
      <w:r>
        <w:rPr>
          <w:i/>
          <w:sz w:val="24"/>
        </w:rPr>
        <w:t>7</w:t>
      </w:r>
      <w:r>
        <w:rPr>
          <w:sz w:val="24"/>
        </w:rPr>
        <w:t>(2),</w:t>
      </w:r>
      <w:r>
        <w:rPr>
          <w:spacing w:val="-1"/>
          <w:sz w:val="24"/>
        </w:rPr>
        <w:t> </w:t>
      </w:r>
      <w:r>
        <w:rPr>
          <w:sz w:val="24"/>
        </w:rPr>
        <w:t>44–</w:t>
      </w:r>
      <w:r>
        <w:rPr>
          <w:spacing w:val="-5"/>
          <w:sz w:val="24"/>
        </w:rPr>
        <w:t>53.</w:t>
      </w:r>
    </w:p>
    <w:p>
      <w:pPr>
        <w:spacing w:before="0"/>
        <w:ind w:left="992" w:right="137" w:hanging="425"/>
        <w:jc w:val="both"/>
        <w:rPr>
          <w:sz w:val="24"/>
        </w:rPr>
      </w:pPr>
      <w:r>
        <w:rPr>
          <w:sz w:val="24"/>
        </w:rPr>
        <w:t>Putri, R. A., &amp; Utiyati, S. (2020). Pengaruh </w:t>
      </w:r>
      <w:r>
        <w:rPr>
          <w:i/>
          <w:sz w:val="24"/>
        </w:rPr>
        <w:t>Debt to Equity Ratio, Curent Ratio, </w:t>
      </w:r>
      <w:r>
        <w:rPr>
          <w:sz w:val="24"/>
        </w:rPr>
        <w:t>Dan </w:t>
      </w:r>
      <w:r>
        <w:rPr>
          <w:i/>
          <w:sz w:val="24"/>
        </w:rPr>
        <w:t>Return on Equity </w:t>
      </w:r>
      <w:r>
        <w:rPr>
          <w:sz w:val="24"/>
        </w:rPr>
        <w:t>Terhadap Nilai Perusahaan. </w:t>
      </w:r>
      <w:r>
        <w:rPr>
          <w:i/>
          <w:sz w:val="24"/>
        </w:rPr>
        <w:t>Jurnal Ilmu dan Riset Manajemen (JIRM)</w:t>
      </w:r>
      <w:r>
        <w:rPr>
          <w:sz w:val="24"/>
        </w:rPr>
        <w:t>, </w:t>
      </w:r>
      <w:r>
        <w:rPr>
          <w:i/>
          <w:sz w:val="24"/>
        </w:rPr>
        <w:t>9</w:t>
      </w:r>
      <w:r>
        <w:rPr>
          <w:sz w:val="24"/>
        </w:rPr>
        <w:t>(2).</w:t>
      </w:r>
    </w:p>
    <w:p>
      <w:pPr>
        <w:spacing w:before="0"/>
        <w:ind w:left="992" w:right="139" w:hanging="425"/>
        <w:jc w:val="both"/>
        <w:rPr>
          <w:sz w:val="24"/>
        </w:rPr>
      </w:pPr>
      <w:r>
        <w:rPr>
          <w:sz w:val="24"/>
        </w:rPr>
        <w:t>Radja,</w:t>
      </w:r>
      <w:r>
        <w:rPr>
          <w:spacing w:val="-2"/>
          <w:sz w:val="24"/>
        </w:rPr>
        <w:t> </w:t>
      </w:r>
      <w:r>
        <w:rPr>
          <w:sz w:val="24"/>
        </w:rPr>
        <w:t>M.</w:t>
      </w:r>
      <w:r>
        <w:rPr>
          <w:spacing w:val="-2"/>
          <w:sz w:val="24"/>
        </w:rPr>
        <w:t> </w:t>
      </w:r>
      <w:r>
        <w:rPr>
          <w:sz w:val="24"/>
        </w:rPr>
        <w:t>H.</w:t>
      </w:r>
      <w:r>
        <w:rPr>
          <w:spacing w:val="-2"/>
          <w:sz w:val="24"/>
        </w:rPr>
        <w:t> </w:t>
      </w:r>
      <w:r>
        <w:rPr>
          <w:sz w:val="24"/>
        </w:rPr>
        <w:t>D., &amp;</w:t>
      </w:r>
      <w:r>
        <w:rPr>
          <w:spacing w:val="-4"/>
          <w:sz w:val="24"/>
        </w:rPr>
        <w:t> </w:t>
      </w:r>
      <w:r>
        <w:rPr>
          <w:sz w:val="24"/>
        </w:rPr>
        <w:t>Fidiana, F.</w:t>
      </w:r>
      <w:r>
        <w:rPr>
          <w:spacing w:val="-4"/>
          <w:sz w:val="24"/>
        </w:rPr>
        <w:t> </w:t>
      </w:r>
      <w:r>
        <w:rPr>
          <w:sz w:val="24"/>
        </w:rPr>
        <w:t>(2025). Pengaruh Profitabilitas,</w:t>
      </w:r>
      <w:r>
        <w:rPr>
          <w:spacing w:val="-4"/>
          <w:sz w:val="24"/>
        </w:rPr>
        <w:t> </w:t>
      </w:r>
      <w:r>
        <w:rPr>
          <w:sz w:val="24"/>
        </w:rPr>
        <w:t>Pertumbuhan</w:t>
      </w:r>
      <w:r>
        <w:rPr>
          <w:spacing w:val="-12"/>
          <w:sz w:val="24"/>
        </w:rPr>
        <w:t> </w:t>
      </w:r>
      <w:r>
        <w:rPr>
          <w:sz w:val="24"/>
        </w:rPr>
        <w:t>Aset, Dan Struktur</w:t>
      </w:r>
      <w:r>
        <w:rPr>
          <w:spacing w:val="-1"/>
          <w:sz w:val="24"/>
        </w:rPr>
        <w:t> </w:t>
      </w:r>
      <w:r>
        <w:rPr>
          <w:sz w:val="24"/>
        </w:rPr>
        <w:t>Kepemilikan</w:t>
      </w:r>
      <w:r>
        <w:rPr>
          <w:spacing w:val="-1"/>
          <w:sz w:val="24"/>
        </w:rPr>
        <w:t> </w:t>
      </w:r>
      <w:r>
        <w:rPr>
          <w:sz w:val="24"/>
        </w:rPr>
        <w:t>Terhadap Nilai Perusahaan. </w:t>
      </w:r>
      <w:r>
        <w:rPr>
          <w:i/>
          <w:sz w:val="24"/>
        </w:rPr>
        <w:t>Jurnal Ilmu Dan</w:t>
      </w:r>
      <w:r>
        <w:rPr>
          <w:i/>
          <w:spacing w:val="-1"/>
          <w:sz w:val="24"/>
        </w:rPr>
        <w:t> </w:t>
      </w:r>
      <w:r>
        <w:rPr>
          <w:i/>
          <w:sz w:val="24"/>
        </w:rPr>
        <w:t>Riset Akuntansi (JIRA)</w:t>
      </w:r>
      <w:r>
        <w:rPr>
          <w:sz w:val="24"/>
        </w:rPr>
        <w:t>, </w:t>
      </w:r>
      <w:r>
        <w:rPr>
          <w:i/>
          <w:sz w:val="24"/>
        </w:rPr>
        <w:t>14</w:t>
      </w:r>
      <w:r>
        <w:rPr>
          <w:sz w:val="24"/>
        </w:rPr>
        <w:t>(1).</w:t>
      </w:r>
    </w:p>
    <w:p>
      <w:pPr>
        <w:spacing w:before="0"/>
        <w:ind w:left="568" w:right="0" w:firstLine="0"/>
        <w:jc w:val="left"/>
        <w:rPr>
          <w:sz w:val="24"/>
        </w:rPr>
      </w:pPr>
      <w:r>
        <w:rPr>
          <w:sz w:val="24"/>
        </w:rPr>
        <w:t>Rasdianto, R. (2019). </w:t>
      </w:r>
      <w:r>
        <w:rPr>
          <w:i/>
          <w:sz w:val="24"/>
        </w:rPr>
        <w:t>Akuntansi Keuangan Berbasis Akrual</w:t>
      </w:r>
      <w:r>
        <w:rPr>
          <w:sz w:val="24"/>
        </w:rPr>
        <w:t>. Salemba Empat. Sastrawan,</w:t>
      </w:r>
      <w:r>
        <w:rPr>
          <w:spacing w:val="22"/>
          <w:sz w:val="24"/>
        </w:rPr>
        <w:t> </w:t>
      </w:r>
      <w:r>
        <w:rPr>
          <w:sz w:val="24"/>
        </w:rPr>
        <w:t>P. D.,</w:t>
      </w:r>
      <w:r>
        <w:rPr>
          <w:spacing w:val="22"/>
          <w:sz w:val="24"/>
        </w:rPr>
        <w:t> </w:t>
      </w:r>
      <w:r>
        <w:rPr>
          <w:sz w:val="24"/>
        </w:rPr>
        <w:t>&amp; Yuniarta,</w:t>
      </w:r>
      <w:r>
        <w:rPr>
          <w:spacing w:val="22"/>
          <w:sz w:val="24"/>
        </w:rPr>
        <w:t> </w:t>
      </w:r>
      <w:r>
        <w:rPr>
          <w:sz w:val="24"/>
        </w:rPr>
        <w:t>G. A.</w:t>
      </w:r>
      <w:r>
        <w:rPr>
          <w:spacing w:val="22"/>
          <w:sz w:val="24"/>
        </w:rPr>
        <w:t> </w:t>
      </w:r>
      <w:r>
        <w:rPr>
          <w:sz w:val="24"/>
        </w:rPr>
        <w:t>(2025).</w:t>
      </w:r>
      <w:r>
        <w:rPr>
          <w:spacing w:val="20"/>
          <w:sz w:val="24"/>
        </w:rPr>
        <w:t> </w:t>
      </w:r>
      <w:r>
        <w:rPr>
          <w:sz w:val="24"/>
        </w:rPr>
        <w:t>Pengaruh Asset</w:t>
      </w:r>
      <w:r>
        <w:rPr>
          <w:spacing w:val="20"/>
          <w:sz w:val="24"/>
        </w:rPr>
        <w:t> </w:t>
      </w:r>
      <w:r>
        <w:rPr>
          <w:sz w:val="24"/>
        </w:rPr>
        <w:t>Growth,</w:t>
      </w:r>
      <w:r>
        <w:rPr>
          <w:spacing w:val="20"/>
          <w:sz w:val="24"/>
        </w:rPr>
        <w:t> </w:t>
      </w:r>
      <w:r>
        <w:rPr>
          <w:sz w:val="24"/>
        </w:rPr>
        <w:t>Kebijakan</w:t>
      </w:r>
    </w:p>
    <w:p>
      <w:pPr>
        <w:tabs>
          <w:tab w:pos="2672" w:val="left" w:leader="none"/>
          <w:tab w:pos="3911" w:val="left" w:leader="none"/>
          <w:tab w:pos="6318" w:val="left" w:leader="none"/>
          <w:tab w:pos="7604" w:val="left" w:leader="none"/>
        </w:tabs>
        <w:spacing w:before="0"/>
        <w:ind w:left="992" w:right="139" w:firstLine="0"/>
        <w:jc w:val="both"/>
        <w:rPr>
          <w:sz w:val="24"/>
        </w:rPr>
      </w:pPr>
      <w:r>
        <w:rPr>
          <w:sz w:val="24"/>
        </w:rPr>
        <w:t>Dividen, dan Struktur Modal terhadap Nilai Perusahaan Sektor Teknologi Terdaftar</w:t>
      </w:r>
      <w:r>
        <w:rPr>
          <w:spacing w:val="-6"/>
          <w:sz w:val="24"/>
        </w:rPr>
        <w:t> </w:t>
      </w:r>
      <w:r>
        <w:rPr>
          <w:sz w:val="24"/>
        </w:rPr>
        <w:t>di</w:t>
      </w:r>
      <w:r>
        <w:rPr>
          <w:spacing w:val="-7"/>
          <w:sz w:val="24"/>
        </w:rPr>
        <w:t> </w:t>
      </w:r>
      <w:r>
        <w:rPr>
          <w:sz w:val="24"/>
        </w:rPr>
        <w:t>Bursa</w:t>
      </w:r>
      <w:r>
        <w:rPr>
          <w:spacing w:val="-5"/>
          <w:sz w:val="24"/>
        </w:rPr>
        <w:t> </w:t>
      </w:r>
      <w:r>
        <w:rPr>
          <w:sz w:val="24"/>
        </w:rPr>
        <w:t>Efek</w:t>
      </w:r>
      <w:r>
        <w:rPr>
          <w:spacing w:val="-6"/>
          <w:sz w:val="24"/>
        </w:rPr>
        <w:t> </w:t>
      </w:r>
      <w:r>
        <w:rPr>
          <w:sz w:val="24"/>
        </w:rPr>
        <w:t>Indonesia</w:t>
      </w:r>
      <w:r>
        <w:rPr>
          <w:spacing w:val="-9"/>
          <w:sz w:val="24"/>
        </w:rPr>
        <w:t> </w:t>
      </w:r>
      <w:r>
        <w:rPr>
          <w:sz w:val="24"/>
        </w:rPr>
        <w:t>Tahun</w:t>
      </w:r>
      <w:r>
        <w:rPr>
          <w:spacing w:val="-10"/>
          <w:sz w:val="24"/>
        </w:rPr>
        <w:t> </w:t>
      </w:r>
      <w:r>
        <w:rPr>
          <w:sz w:val="24"/>
        </w:rPr>
        <w:t>2021-2023.</w:t>
      </w:r>
      <w:r>
        <w:rPr>
          <w:spacing w:val="-4"/>
          <w:sz w:val="24"/>
        </w:rPr>
        <w:t> </w:t>
      </w:r>
      <w:r>
        <w:rPr>
          <w:i/>
          <w:sz w:val="24"/>
        </w:rPr>
        <w:t>Jurnal</w:t>
      </w:r>
      <w:r>
        <w:rPr>
          <w:i/>
          <w:spacing w:val="-7"/>
          <w:sz w:val="24"/>
        </w:rPr>
        <w:t> </w:t>
      </w:r>
      <w:r>
        <w:rPr>
          <w:i/>
          <w:sz w:val="24"/>
        </w:rPr>
        <w:t>Ilmu</w:t>
      </w:r>
      <w:r>
        <w:rPr>
          <w:i/>
          <w:spacing w:val="-8"/>
          <w:sz w:val="24"/>
        </w:rPr>
        <w:t> </w:t>
      </w:r>
      <w:r>
        <w:rPr>
          <w:i/>
          <w:sz w:val="24"/>
        </w:rPr>
        <w:t>Manajemen, </w:t>
      </w:r>
      <w:r>
        <w:rPr>
          <w:i/>
          <w:spacing w:val="-2"/>
          <w:sz w:val="24"/>
        </w:rPr>
        <w:t>Ekonomi</w:t>
      </w:r>
      <w:r>
        <w:rPr>
          <w:i/>
          <w:sz w:val="24"/>
        </w:rPr>
        <w:tab/>
      </w:r>
      <w:r>
        <w:rPr>
          <w:i/>
          <w:spacing w:val="-4"/>
          <w:sz w:val="24"/>
        </w:rPr>
        <w:t>Dan</w:t>
      </w:r>
      <w:r>
        <w:rPr>
          <w:i/>
          <w:sz w:val="24"/>
        </w:rPr>
        <w:tab/>
      </w:r>
      <w:r>
        <w:rPr>
          <w:i/>
          <w:spacing w:val="-2"/>
          <w:sz w:val="24"/>
        </w:rPr>
        <w:t>Kewirausahaan</w:t>
      </w:r>
      <w:r>
        <w:rPr>
          <w:spacing w:val="-2"/>
          <w:sz w:val="24"/>
        </w:rPr>
        <w:t>,</w:t>
      </w:r>
      <w:r>
        <w:rPr>
          <w:sz w:val="24"/>
        </w:rPr>
        <w:tab/>
      </w:r>
      <w:r>
        <w:rPr>
          <w:i/>
          <w:spacing w:val="-2"/>
          <w:sz w:val="24"/>
        </w:rPr>
        <w:t>5</w:t>
      </w:r>
      <w:r>
        <w:rPr>
          <w:spacing w:val="-2"/>
          <w:sz w:val="24"/>
        </w:rPr>
        <w:t>(3),</w:t>
      </w:r>
      <w:r>
        <w:rPr>
          <w:sz w:val="24"/>
        </w:rPr>
        <w:tab/>
      </w:r>
      <w:r>
        <w:rPr>
          <w:spacing w:val="-2"/>
          <w:sz w:val="24"/>
        </w:rPr>
        <w:t>643–658. </w:t>
      </w:r>
      <w:hyperlink r:id="rId19">
        <w:r>
          <w:rPr>
            <w:spacing w:val="-2"/>
            <w:sz w:val="24"/>
          </w:rPr>
          <w:t>https://doi.org/10.55606/jimek.v5i3.8156</w:t>
        </w:r>
      </w:hyperlink>
    </w:p>
    <w:p>
      <w:pPr>
        <w:spacing w:before="0"/>
        <w:ind w:left="992" w:right="0" w:hanging="425"/>
        <w:jc w:val="left"/>
        <w:rPr>
          <w:sz w:val="24"/>
        </w:rPr>
      </w:pPr>
      <w:r>
        <w:rPr>
          <w:sz w:val="24"/>
        </w:rPr>
        <w:t>Spence, M. (1973). </w:t>
      </w:r>
      <w:r>
        <w:rPr>
          <w:i/>
          <w:sz w:val="24"/>
        </w:rPr>
        <w:t>Job Market Signaling. The Quarterly Journal of Economics</w:t>
      </w:r>
      <w:r>
        <w:rPr>
          <w:sz w:val="24"/>
        </w:rPr>
        <w:t>,</w:t>
      </w:r>
      <w:r>
        <w:rPr>
          <w:spacing w:val="40"/>
          <w:sz w:val="24"/>
        </w:rPr>
        <w:t> </w:t>
      </w:r>
      <w:r>
        <w:rPr>
          <w:i/>
          <w:sz w:val="24"/>
        </w:rPr>
        <w:t>87</w:t>
      </w:r>
      <w:r>
        <w:rPr>
          <w:sz w:val="24"/>
        </w:rPr>
        <w:t>(3), 355. </w:t>
      </w:r>
      <w:hyperlink r:id="rId20">
        <w:r>
          <w:rPr>
            <w:sz w:val="24"/>
          </w:rPr>
          <w:t>https://doi.org/10.2307/1882010</w:t>
        </w:r>
      </w:hyperlink>
    </w:p>
    <w:p>
      <w:pPr>
        <w:spacing w:before="0"/>
        <w:ind w:left="992" w:right="0" w:hanging="425"/>
        <w:jc w:val="left"/>
        <w:rPr>
          <w:sz w:val="24"/>
        </w:rPr>
      </w:pPr>
      <w:r>
        <w:rPr>
          <w:sz w:val="24"/>
        </w:rPr>
        <w:t>Sugiyono.</w:t>
      </w:r>
      <w:r>
        <w:rPr>
          <w:spacing w:val="28"/>
          <w:sz w:val="24"/>
        </w:rPr>
        <w:t> </w:t>
      </w:r>
      <w:r>
        <w:rPr>
          <w:sz w:val="24"/>
        </w:rPr>
        <w:t>(2022).</w:t>
      </w:r>
      <w:r>
        <w:rPr>
          <w:spacing w:val="28"/>
          <w:sz w:val="24"/>
        </w:rPr>
        <w:t> </w:t>
      </w:r>
      <w:r>
        <w:rPr>
          <w:i/>
          <w:sz w:val="24"/>
        </w:rPr>
        <w:t>Metode Penelitian Kuantitatif, Kualitatif, dan RnD</w:t>
      </w:r>
      <w:r>
        <w:rPr>
          <w:sz w:val="24"/>
        </w:rPr>
        <w:t>. Alfabeta. </w:t>
      </w:r>
      <w:hyperlink r:id="rId21">
        <w:r>
          <w:rPr>
            <w:spacing w:val="-2"/>
            <w:sz w:val="24"/>
          </w:rPr>
          <w:t>https://digilib.stekom.ac.id/assets/dokumen/ebook/feb_35efe6a47227d6031a7</w:t>
        </w:r>
      </w:hyperlink>
      <w:r>
        <w:rPr>
          <w:spacing w:val="-2"/>
          <w:sz w:val="24"/>
        </w:rPr>
        <w:t> </w:t>
      </w:r>
      <w:hyperlink r:id="rId21">
        <w:r>
          <w:rPr>
            <w:spacing w:val="-2"/>
            <w:sz w:val="24"/>
          </w:rPr>
          <w:t>5569c2f3f39d44fe2db43_1652079047.pdf</w:t>
        </w:r>
      </w:hyperlink>
    </w:p>
    <w:p>
      <w:pPr>
        <w:spacing w:before="0"/>
        <w:ind w:left="992" w:right="0" w:hanging="425"/>
        <w:jc w:val="left"/>
        <w:rPr>
          <w:sz w:val="24"/>
        </w:rPr>
      </w:pPr>
      <w:r>
        <w:rPr>
          <w:sz w:val="24"/>
        </w:rPr>
        <w:t>Sumarsan,</w:t>
      </w:r>
      <w:r>
        <w:rPr>
          <w:spacing w:val="80"/>
          <w:sz w:val="24"/>
        </w:rPr>
        <w:t> </w:t>
      </w:r>
      <w:r>
        <w:rPr>
          <w:sz w:val="24"/>
        </w:rPr>
        <w:t>T.</w:t>
      </w:r>
      <w:r>
        <w:rPr>
          <w:spacing w:val="78"/>
          <w:sz w:val="24"/>
        </w:rPr>
        <w:t> </w:t>
      </w:r>
      <w:r>
        <w:rPr>
          <w:sz w:val="24"/>
        </w:rPr>
        <w:t>(2021).</w:t>
      </w:r>
      <w:r>
        <w:rPr>
          <w:spacing w:val="80"/>
          <w:sz w:val="24"/>
        </w:rPr>
        <w:t> </w:t>
      </w:r>
      <w:r>
        <w:rPr>
          <w:sz w:val="24"/>
        </w:rPr>
        <w:t>Manajemen</w:t>
      </w:r>
      <w:r>
        <w:rPr>
          <w:spacing w:val="80"/>
          <w:sz w:val="24"/>
        </w:rPr>
        <w:t> </w:t>
      </w:r>
      <w:r>
        <w:rPr>
          <w:sz w:val="24"/>
        </w:rPr>
        <w:t>Keuangan</w:t>
      </w:r>
      <w:r>
        <w:rPr>
          <w:spacing w:val="80"/>
          <w:sz w:val="24"/>
        </w:rPr>
        <w:t> </w:t>
      </w:r>
      <w:r>
        <w:rPr>
          <w:sz w:val="24"/>
        </w:rPr>
        <w:t>Konsep</w:t>
      </w:r>
      <w:r>
        <w:rPr>
          <w:spacing w:val="80"/>
          <w:sz w:val="24"/>
        </w:rPr>
        <w:t> </w:t>
      </w:r>
      <w:r>
        <w:rPr>
          <w:sz w:val="24"/>
        </w:rPr>
        <w:t>dan</w:t>
      </w:r>
      <w:r>
        <w:rPr>
          <w:spacing w:val="80"/>
          <w:sz w:val="24"/>
        </w:rPr>
        <w:t> </w:t>
      </w:r>
      <w:r>
        <w:rPr>
          <w:sz w:val="24"/>
        </w:rPr>
        <w:t>Aplikasi.</w:t>
      </w:r>
      <w:r>
        <w:rPr>
          <w:spacing w:val="78"/>
          <w:sz w:val="24"/>
        </w:rPr>
        <w:t> </w:t>
      </w:r>
      <w:r>
        <w:rPr>
          <w:i/>
          <w:sz w:val="24"/>
        </w:rPr>
        <w:t>Jakarta: </w:t>
      </w:r>
      <w:r>
        <w:rPr>
          <w:i/>
          <w:spacing w:val="-2"/>
          <w:sz w:val="24"/>
        </w:rPr>
        <w:t>Campustaka</w:t>
      </w:r>
      <w:r>
        <w:rPr>
          <w:spacing w:val="-2"/>
          <w:sz w:val="24"/>
        </w:rPr>
        <w:t>.</w:t>
      </w:r>
    </w:p>
    <w:p>
      <w:pPr>
        <w:pStyle w:val="BodyText"/>
        <w:ind w:left="992" w:right="137" w:hanging="425"/>
        <w:jc w:val="both"/>
      </w:pPr>
      <w:r>
        <w:rPr/>
        <w:t>Tambun, N., Mangantar, M., &amp; Untu, V. N. (2022). Analisis Pengaruh Rasio Likuiditas, Solvabilitas Dan Profitabilitas Terhadap Nilai Perusahaan Pada Perusahaan</w:t>
      </w:r>
      <w:r>
        <w:rPr>
          <w:spacing w:val="80"/>
          <w:w w:val="150"/>
        </w:rPr>
        <w:t> </w:t>
      </w:r>
      <w:r>
        <w:rPr/>
        <w:t>Telekomunikasi</w:t>
      </w:r>
      <w:r>
        <w:rPr>
          <w:spacing w:val="80"/>
          <w:w w:val="150"/>
        </w:rPr>
        <w:t> </w:t>
      </w:r>
      <w:r>
        <w:rPr/>
        <w:t>Indonesia</w:t>
      </w:r>
      <w:r>
        <w:rPr>
          <w:spacing w:val="80"/>
          <w:w w:val="150"/>
        </w:rPr>
        <w:t> </w:t>
      </w:r>
      <w:r>
        <w:rPr/>
        <w:t>Yang</w:t>
      </w:r>
      <w:r>
        <w:rPr>
          <w:spacing w:val="80"/>
          <w:w w:val="150"/>
        </w:rPr>
        <w:t> </w:t>
      </w:r>
      <w:r>
        <w:rPr/>
        <w:t>Terdaftar</w:t>
      </w:r>
      <w:r>
        <w:rPr>
          <w:spacing w:val="80"/>
          <w:w w:val="150"/>
        </w:rPr>
        <w:t> </w:t>
      </w:r>
      <w:r>
        <w:rPr/>
        <w:t>Di</w:t>
      </w:r>
      <w:r>
        <w:rPr>
          <w:spacing w:val="80"/>
          <w:w w:val="150"/>
        </w:rPr>
        <w:t> </w:t>
      </w:r>
      <w:r>
        <w:rPr/>
        <w:t>Bursa</w:t>
      </w:r>
      <w:r>
        <w:rPr>
          <w:spacing w:val="80"/>
          <w:w w:val="150"/>
        </w:rPr>
        <w:t> </w:t>
      </w:r>
      <w:r>
        <w:rPr/>
        <w:t>Efek</w:t>
      </w:r>
    </w:p>
    <w:p>
      <w:pPr>
        <w:pStyle w:val="BodyText"/>
        <w:spacing w:after="0"/>
        <w:jc w:val="both"/>
        <w:sectPr>
          <w:pgSz w:w="11910" w:h="16840"/>
          <w:pgMar w:header="795" w:footer="0" w:top="1080" w:bottom="280" w:left="1700" w:right="1559"/>
        </w:sectPr>
      </w:pPr>
    </w:p>
    <w:p>
      <w:pPr>
        <w:pStyle w:val="BodyText"/>
      </w:pPr>
    </w:p>
    <w:p>
      <w:pPr>
        <w:pStyle w:val="BodyText"/>
      </w:pPr>
    </w:p>
    <w:p>
      <w:pPr>
        <w:pStyle w:val="BodyText"/>
      </w:pPr>
    </w:p>
    <w:p>
      <w:pPr>
        <w:pStyle w:val="BodyText"/>
      </w:pPr>
    </w:p>
    <w:p>
      <w:pPr>
        <w:pStyle w:val="BodyText"/>
        <w:spacing w:before="11"/>
      </w:pPr>
    </w:p>
    <w:p>
      <w:pPr>
        <w:spacing w:line="237" w:lineRule="auto" w:before="1"/>
        <w:ind w:left="992" w:right="139" w:firstLine="0"/>
        <w:jc w:val="both"/>
        <w:rPr>
          <w:sz w:val="24"/>
        </w:rPr>
      </w:pPr>
      <w:r>
        <w:rPr>
          <w:sz w:val="24"/>
        </w:rPr>
        <w:t>Indonesia (BEI) Periode 2017-2021. </w:t>
      </w:r>
      <w:r>
        <w:rPr>
          <w:i/>
          <w:sz w:val="24"/>
        </w:rPr>
        <w:t>Jurnal EMBA: Jurnal Riset Ekonomi, Manajemen, Bisnis dan Akuntansi</w:t>
      </w:r>
      <w:r>
        <w:rPr>
          <w:sz w:val="24"/>
        </w:rPr>
        <w:t>, </w:t>
      </w:r>
      <w:r>
        <w:rPr>
          <w:i/>
          <w:sz w:val="24"/>
        </w:rPr>
        <w:t>10</w:t>
      </w:r>
      <w:r>
        <w:rPr>
          <w:sz w:val="24"/>
        </w:rPr>
        <w:t>(4), 735–746.</w:t>
      </w:r>
    </w:p>
    <w:p>
      <w:pPr>
        <w:spacing w:before="1"/>
        <w:ind w:left="992" w:right="139" w:hanging="425"/>
        <w:jc w:val="both"/>
        <w:rPr>
          <w:sz w:val="24"/>
        </w:rPr>
      </w:pPr>
      <w:r>
        <w:rPr>
          <w:sz w:val="24"/>
        </w:rPr>
        <w:t>Winarti, Y. A., &amp; Handayani, N. (2024). Pengaruh Struktur Modal, Ukuran Perusahaan,</w:t>
      </w:r>
      <w:r>
        <w:rPr>
          <w:spacing w:val="-11"/>
          <w:sz w:val="24"/>
        </w:rPr>
        <w:t> </w:t>
      </w:r>
      <w:r>
        <w:rPr>
          <w:sz w:val="24"/>
        </w:rPr>
        <w:t>Dan</w:t>
      </w:r>
      <w:r>
        <w:rPr>
          <w:spacing w:val="-6"/>
          <w:sz w:val="24"/>
        </w:rPr>
        <w:t> </w:t>
      </w:r>
      <w:r>
        <w:rPr>
          <w:sz w:val="24"/>
        </w:rPr>
        <w:t>Pertumbuhan</w:t>
      </w:r>
      <w:r>
        <w:rPr>
          <w:spacing w:val="-15"/>
          <w:sz w:val="24"/>
        </w:rPr>
        <w:t> </w:t>
      </w:r>
      <w:r>
        <w:rPr>
          <w:sz w:val="24"/>
        </w:rPr>
        <w:t>Aset</w:t>
      </w:r>
      <w:r>
        <w:rPr>
          <w:spacing w:val="-8"/>
          <w:sz w:val="24"/>
        </w:rPr>
        <w:t> </w:t>
      </w:r>
      <w:r>
        <w:rPr>
          <w:sz w:val="24"/>
        </w:rPr>
        <w:t>Terhadap</w:t>
      </w:r>
      <w:r>
        <w:rPr>
          <w:spacing w:val="-6"/>
          <w:sz w:val="24"/>
        </w:rPr>
        <w:t> </w:t>
      </w:r>
      <w:r>
        <w:rPr>
          <w:sz w:val="24"/>
        </w:rPr>
        <w:t>Nilai</w:t>
      </w:r>
      <w:r>
        <w:rPr>
          <w:spacing w:val="-8"/>
          <w:sz w:val="24"/>
        </w:rPr>
        <w:t> </w:t>
      </w:r>
      <w:r>
        <w:rPr>
          <w:sz w:val="24"/>
        </w:rPr>
        <w:t>Perusahaan.</w:t>
      </w:r>
      <w:r>
        <w:rPr>
          <w:spacing w:val="-6"/>
          <w:sz w:val="24"/>
        </w:rPr>
        <w:t> </w:t>
      </w:r>
      <w:r>
        <w:rPr>
          <w:i/>
          <w:sz w:val="24"/>
        </w:rPr>
        <w:t>Jurnal</w:t>
      </w:r>
      <w:r>
        <w:rPr>
          <w:i/>
          <w:spacing w:val="-8"/>
          <w:sz w:val="24"/>
        </w:rPr>
        <w:t> </w:t>
      </w:r>
      <w:r>
        <w:rPr>
          <w:i/>
          <w:sz w:val="24"/>
        </w:rPr>
        <w:t>Ilmiah Akuntansi Dan Keuangan (JIAKu)</w:t>
      </w:r>
      <w:r>
        <w:rPr>
          <w:sz w:val="24"/>
        </w:rPr>
        <w:t>, </w:t>
      </w:r>
      <w:r>
        <w:rPr>
          <w:i/>
          <w:sz w:val="24"/>
        </w:rPr>
        <w:t>3</w:t>
      </w:r>
      <w:r>
        <w:rPr>
          <w:sz w:val="24"/>
        </w:rPr>
        <w:t>(2), 127–146.</w:t>
      </w:r>
    </w:p>
    <w:p>
      <w:pPr>
        <w:spacing w:line="350" w:lineRule="auto" w:before="0"/>
        <w:ind w:left="992" w:right="136" w:hanging="425"/>
        <w:jc w:val="both"/>
        <w:rPr>
          <w:sz w:val="24"/>
        </w:rPr>
      </w:pPr>
      <w:r>
        <w:rPr>
          <w:sz w:val="24"/>
        </w:rPr>
        <w:t>Yati, R. (2023, Februari 13). </w:t>
      </w:r>
      <w:r>
        <w:rPr>
          <w:i/>
          <w:sz w:val="24"/>
        </w:rPr>
        <w:t>Pasca Merger, Indosat Ooredoo Hutchison Klaim Punya 106 Juta Pelanggan</w:t>
      </w:r>
      <w:r>
        <w:rPr>
          <w:sz w:val="24"/>
        </w:rPr>
        <w:t>. Bisnis Tekno. </w:t>
      </w:r>
      <w:hyperlink r:id="rId22">
        <w:r>
          <w:rPr>
            <w:sz w:val="24"/>
          </w:rPr>
          <w:t>https://teknologi.bisnis.com/read/</w:t>
        </w:r>
      </w:hyperlink>
    </w:p>
    <w:sectPr>
      <w:pgSz w:w="11910" w:h="16840"/>
      <w:pgMar w:header="795" w:footer="0" w:top="108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Math">
    <w:altName w:val="Cambria Math"/>
    <w:charset w:val="1"/>
    <w:family w:val="roman"/>
    <w:pitch w:val="variable"/>
  </w:font>
  <w:font w:name="Microsoft YaHei">
    <w:altName w:val="Microsoft YaHei"/>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38304">
              <wp:simplePos x="0" y="0"/>
              <wp:positionH relativeFrom="page">
                <wp:posOffset>1421130</wp:posOffset>
              </wp:positionH>
              <wp:positionV relativeFrom="page">
                <wp:posOffset>688975</wp:posOffset>
              </wp:positionV>
              <wp:extent cx="5077460"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077460" cy="6350"/>
                      </a:xfrm>
                      <a:custGeom>
                        <a:avLst/>
                        <a:gdLst/>
                        <a:ahLst/>
                        <a:cxnLst/>
                        <a:rect l="l" t="t" r="r" b="b"/>
                        <a:pathLst>
                          <a:path w="5077460" h="6350">
                            <a:moveTo>
                              <a:pt x="5077333" y="6095"/>
                            </a:moveTo>
                            <a:lnTo>
                              <a:pt x="0" y="6095"/>
                            </a:lnTo>
                            <a:lnTo>
                              <a:pt x="0" y="0"/>
                            </a:lnTo>
                            <a:lnTo>
                              <a:pt x="5077333" y="0"/>
                            </a:lnTo>
                            <a:lnTo>
                              <a:pt x="5077333"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1.900002pt;margin-top:54.25pt;width:399.79pt;height:.48pt;mso-position-horizontal-relative:page;mso-position-vertical-relative:page;z-index:-16178176"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138816">
              <wp:simplePos x="0" y="0"/>
              <wp:positionH relativeFrom="page">
                <wp:posOffset>1518919</wp:posOffset>
              </wp:positionH>
              <wp:positionV relativeFrom="page">
                <wp:posOffset>492209</wp:posOffset>
              </wp:positionV>
              <wp:extent cx="348043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80435" cy="194310"/>
                      </a:xfrm>
                      <a:prstGeom prst="rect">
                        <a:avLst/>
                      </a:prstGeom>
                    </wps:spPr>
                    <wps:txbx>
                      <w:txbxContent>
                        <w:p>
                          <w:pPr>
                            <w:pStyle w:val="BodyText"/>
                            <w:spacing w:before="10"/>
                            <w:ind w:left="20"/>
                          </w:pPr>
                          <w:r>
                            <w:rPr/>
                            <w:t>Jurnal</w:t>
                          </w:r>
                          <w:r>
                            <w:rPr>
                              <w:spacing w:val="-10"/>
                            </w:rPr>
                            <w:t> </w:t>
                          </w:r>
                          <w:r>
                            <w:rPr/>
                            <w:t>Informasi</w:t>
                          </w:r>
                          <w:r>
                            <w:rPr>
                              <w:spacing w:val="-6"/>
                            </w:rPr>
                            <w:t> </w:t>
                          </w:r>
                          <w:r>
                            <w:rPr/>
                            <w:t>Akuntansi,</w:t>
                          </w:r>
                          <w:r>
                            <w:rPr>
                              <w:spacing w:val="-9"/>
                            </w:rPr>
                            <w:t> </w:t>
                          </w:r>
                          <w:r>
                            <w:rPr/>
                            <w:t>Vol</w:t>
                          </w:r>
                          <w:r>
                            <w:rPr>
                              <w:spacing w:val="-11"/>
                            </w:rPr>
                            <w:t> </w:t>
                          </w:r>
                          <w:r>
                            <w:rPr/>
                            <w:t>4,</w:t>
                          </w:r>
                          <w:r>
                            <w:rPr>
                              <w:spacing w:val="-7"/>
                            </w:rPr>
                            <w:t> </w:t>
                          </w:r>
                          <w:r>
                            <w:rPr/>
                            <w:t>No</w:t>
                          </w:r>
                          <w:r>
                            <w:rPr>
                              <w:spacing w:val="-9"/>
                            </w:rPr>
                            <w:t> </w:t>
                          </w:r>
                          <w:r>
                            <w:rPr/>
                            <w:t>3,</w:t>
                          </w:r>
                          <w:r>
                            <w:rPr>
                              <w:spacing w:val="-10"/>
                            </w:rPr>
                            <w:t> </w:t>
                          </w:r>
                          <w:r>
                            <w:rPr/>
                            <w:t>Desember</w:t>
                          </w:r>
                          <w:r>
                            <w:rPr>
                              <w:spacing w:val="-15"/>
                            </w:rPr>
                            <w:t> </w:t>
                          </w:r>
                          <w:r>
                            <w:rPr>
                              <w:spacing w:val="-4"/>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9.599998pt;margin-top:38.756641pt;width:274.05pt;height:15.3pt;mso-position-horizontal-relative:page;mso-position-vertical-relative:page;z-index:-16177664" type="#_x0000_t202" id="docshape2" filled="false" stroked="false">
              <v:textbox inset="0,0,0,0">
                <w:txbxContent>
                  <w:p>
                    <w:pPr>
                      <w:pStyle w:val="BodyText"/>
                      <w:spacing w:before="10"/>
                      <w:ind w:left="20"/>
                    </w:pPr>
                    <w:r>
                      <w:rPr/>
                      <w:t>Jurnal</w:t>
                    </w:r>
                    <w:r>
                      <w:rPr>
                        <w:spacing w:val="-10"/>
                      </w:rPr>
                      <w:t> </w:t>
                    </w:r>
                    <w:r>
                      <w:rPr/>
                      <w:t>Informasi</w:t>
                    </w:r>
                    <w:r>
                      <w:rPr>
                        <w:spacing w:val="-6"/>
                      </w:rPr>
                      <w:t> </w:t>
                    </w:r>
                    <w:r>
                      <w:rPr/>
                      <w:t>Akuntansi,</w:t>
                    </w:r>
                    <w:r>
                      <w:rPr>
                        <w:spacing w:val="-9"/>
                      </w:rPr>
                      <w:t> </w:t>
                    </w:r>
                    <w:r>
                      <w:rPr/>
                      <w:t>Vol</w:t>
                    </w:r>
                    <w:r>
                      <w:rPr>
                        <w:spacing w:val="-11"/>
                      </w:rPr>
                      <w:t> </w:t>
                    </w:r>
                    <w:r>
                      <w:rPr/>
                      <w:t>4,</w:t>
                    </w:r>
                    <w:r>
                      <w:rPr>
                        <w:spacing w:val="-7"/>
                      </w:rPr>
                      <w:t> </w:t>
                    </w:r>
                    <w:r>
                      <w:rPr/>
                      <w:t>No</w:t>
                    </w:r>
                    <w:r>
                      <w:rPr>
                        <w:spacing w:val="-9"/>
                      </w:rPr>
                      <w:t> </w:t>
                    </w:r>
                    <w:r>
                      <w:rPr/>
                      <w:t>3,</w:t>
                    </w:r>
                    <w:r>
                      <w:rPr>
                        <w:spacing w:val="-10"/>
                      </w:rPr>
                      <w:t> </w:t>
                    </w:r>
                    <w:r>
                      <w:rPr/>
                      <w:t>Desember</w:t>
                    </w:r>
                    <w:r>
                      <w:rPr>
                        <w:spacing w:val="-15"/>
                      </w:rPr>
                      <w:t> </w:t>
                    </w:r>
                    <w:r>
                      <w:rPr>
                        <w:spacing w:val="-4"/>
                      </w:rPr>
                      <w:t>2025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39328">
              <wp:simplePos x="0" y="0"/>
              <wp:positionH relativeFrom="page">
                <wp:posOffset>6209779</wp:posOffset>
              </wp:positionH>
              <wp:positionV relativeFrom="page">
                <wp:posOffset>502960</wp:posOffset>
              </wp:positionV>
              <wp:extent cx="26352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63525" cy="180975"/>
                      </a:xfrm>
                      <a:prstGeom prst="rect">
                        <a:avLst/>
                      </a:prstGeom>
                    </wps:spPr>
                    <wps:txbx>
                      <w:txbxContent>
                        <w:p>
                          <w:pPr>
                            <w:spacing w:before="11"/>
                            <w:ind w:left="20" w:right="0" w:firstLine="0"/>
                            <w:jc w:val="left"/>
                            <w:rPr>
                              <w:sz w:val="22"/>
                            </w:rPr>
                          </w:pPr>
                          <w:r>
                            <w:rPr>
                              <w:sz w:val="22"/>
                            </w:rPr>
                            <w:t>|</w:t>
                          </w:r>
                          <w:r>
                            <w:rPr>
                              <w:spacing w:val="-4"/>
                              <w:sz w:val="22"/>
                            </w:rPr>
                            <w:t> </w:t>
                          </w:r>
                          <w:r>
                            <w:rPr>
                              <w:spacing w:val="-5"/>
                              <w:sz w:val="22"/>
                            </w:rPr>
                            <w:fldChar w:fldCharType="begin"/>
                          </w:r>
                          <w:r>
                            <w:rPr>
                              <w:spacing w:val="-5"/>
                              <w:sz w:val="22"/>
                            </w:rPr>
                            <w:instrText> PAGE </w:instrText>
                          </w:r>
                          <w:r>
                            <w:rPr>
                              <w:spacing w:val="-5"/>
                              <w:sz w:val="22"/>
                            </w:rPr>
                            <w:fldChar w:fldCharType="separate"/>
                          </w:r>
                          <w:r>
                            <w:rPr>
                              <w:spacing w:val="-5"/>
                              <w:sz w:val="22"/>
                            </w:rPr>
                            <w:t>15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88.959015pt;margin-top:39.603199pt;width:20.75pt;height:14.25pt;mso-position-horizontal-relative:page;mso-position-vertical-relative:page;z-index:-16177152" type="#_x0000_t202" id="docshape3" filled="false" stroked="false">
              <v:textbox inset="0,0,0,0">
                <w:txbxContent>
                  <w:p>
                    <w:pPr>
                      <w:spacing w:before="11"/>
                      <w:ind w:left="20" w:right="0" w:firstLine="0"/>
                      <w:jc w:val="left"/>
                      <w:rPr>
                        <w:sz w:val="22"/>
                      </w:rPr>
                    </w:pPr>
                    <w:r>
                      <w:rPr>
                        <w:sz w:val="22"/>
                      </w:rPr>
                      <w:t>|</w:t>
                    </w:r>
                    <w:r>
                      <w:rPr>
                        <w:spacing w:val="-4"/>
                        <w:sz w:val="22"/>
                      </w:rPr>
                      <w:t> </w:t>
                    </w:r>
                    <w:r>
                      <w:rPr>
                        <w:spacing w:val="-5"/>
                        <w:sz w:val="22"/>
                      </w:rPr>
                      <w:fldChar w:fldCharType="begin"/>
                    </w:r>
                    <w:r>
                      <w:rPr>
                        <w:spacing w:val="-5"/>
                        <w:sz w:val="22"/>
                      </w:rPr>
                      <w:instrText> PAGE </w:instrText>
                    </w:r>
                    <w:r>
                      <w:rPr>
                        <w:spacing w:val="-5"/>
                        <w:sz w:val="22"/>
                      </w:rPr>
                      <w:fldChar w:fldCharType="separate"/>
                    </w:r>
                    <w:r>
                      <w:rPr>
                        <w:spacing w:val="-5"/>
                        <w:sz w:val="22"/>
                      </w:rPr>
                      <w:t>15</w:t>
                    </w:r>
                    <w:r>
                      <w:rPr>
                        <w:spacing w:val="-5"/>
                        <w:sz w:val="22"/>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39840">
              <wp:simplePos x="0" y="0"/>
              <wp:positionH relativeFrom="page">
                <wp:posOffset>1421130</wp:posOffset>
              </wp:positionH>
              <wp:positionV relativeFrom="page">
                <wp:posOffset>688975</wp:posOffset>
              </wp:positionV>
              <wp:extent cx="507746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077460" cy="6350"/>
                      </a:xfrm>
                      <a:custGeom>
                        <a:avLst/>
                        <a:gdLst/>
                        <a:ahLst/>
                        <a:cxnLst/>
                        <a:rect l="l" t="t" r="r" b="b"/>
                        <a:pathLst>
                          <a:path w="5077460" h="6350">
                            <a:moveTo>
                              <a:pt x="5077333" y="6095"/>
                            </a:moveTo>
                            <a:lnTo>
                              <a:pt x="0" y="6095"/>
                            </a:lnTo>
                            <a:lnTo>
                              <a:pt x="0" y="0"/>
                            </a:lnTo>
                            <a:lnTo>
                              <a:pt x="5077333" y="0"/>
                            </a:lnTo>
                            <a:lnTo>
                              <a:pt x="5077333"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1.900002pt;margin-top:54.25pt;width:399.79pt;height:.48pt;mso-position-horizontal-relative:page;mso-position-vertical-relative:page;z-index:-16176640" id="docshape4"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140352">
              <wp:simplePos x="0" y="0"/>
              <wp:positionH relativeFrom="page">
                <wp:posOffset>1493519</wp:posOffset>
              </wp:positionH>
              <wp:positionV relativeFrom="page">
                <wp:posOffset>492209</wp:posOffset>
              </wp:positionV>
              <wp:extent cx="272415" cy="1943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72415" cy="194310"/>
                      </a:xfrm>
                      <a:prstGeom prst="rect">
                        <a:avLst/>
                      </a:prstGeom>
                    </wps:spPr>
                    <wps:txbx>
                      <w:txbxContent>
                        <w:p>
                          <w:pPr>
                            <w:spacing w:before="10"/>
                            <w:ind w:left="60" w:right="0" w:firstLine="0"/>
                            <w:jc w:val="left"/>
                            <w:rPr>
                              <w:b/>
                              <w:sz w:val="22"/>
                            </w:rPr>
                          </w:pPr>
                          <w:r>
                            <w:rPr>
                              <w:sz w:val="24"/>
                            </w:rPr>
                            <w:fldChar w:fldCharType="begin"/>
                          </w:r>
                          <w:r>
                            <w:rPr>
                              <w:sz w:val="24"/>
                            </w:rPr>
                            <w:instrText> PAGE </w:instrText>
                          </w:r>
                          <w:r>
                            <w:rPr>
                              <w:sz w:val="24"/>
                            </w:rPr>
                            <w:fldChar w:fldCharType="separate"/>
                          </w:r>
                          <w:r>
                            <w:rPr>
                              <w:sz w:val="24"/>
                            </w:rPr>
                            <w:t>16</w:t>
                          </w:r>
                          <w:r>
                            <w:rPr>
                              <w:sz w:val="24"/>
                            </w:rPr>
                            <w:fldChar w:fldCharType="end"/>
                          </w:r>
                          <w:r>
                            <w:rPr>
                              <w:sz w:val="24"/>
                            </w:rPr>
                            <w:t> </w:t>
                          </w:r>
                          <w:r>
                            <w:rPr>
                              <w:b/>
                              <w:spacing w:val="-10"/>
                              <w:sz w:val="22"/>
                            </w:rPr>
                            <w:t>|</w:t>
                          </w:r>
                        </w:p>
                      </w:txbxContent>
                    </wps:txbx>
                    <wps:bodyPr wrap="square" lIns="0" tIns="0" rIns="0" bIns="0" rtlCol="0">
                      <a:noAutofit/>
                    </wps:bodyPr>
                  </wps:wsp>
                </a:graphicData>
              </a:graphic>
            </wp:anchor>
          </w:drawing>
        </mc:Choice>
        <mc:Fallback>
          <w:pict>
            <v:shape style="position:absolute;margin-left:117.599998pt;margin-top:38.756641pt;width:21.45pt;height:15.3pt;mso-position-horizontal-relative:page;mso-position-vertical-relative:page;z-index:-16176128" type="#_x0000_t202" id="docshape5" filled="false" stroked="false">
              <v:textbox inset="0,0,0,0">
                <w:txbxContent>
                  <w:p>
                    <w:pPr>
                      <w:spacing w:before="10"/>
                      <w:ind w:left="60" w:right="0" w:firstLine="0"/>
                      <w:jc w:val="left"/>
                      <w:rPr>
                        <w:b/>
                        <w:sz w:val="22"/>
                      </w:rPr>
                    </w:pPr>
                    <w:r>
                      <w:rPr>
                        <w:sz w:val="24"/>
                      </w:rPr>
                      <w:fldChar w:fldCharType="begin"/>
                    </w:r>
                    <w:r>
                      <w:rPr>
                        <w:sz w:val="24"/>
                      </w:rPr>
                      <w:instrText> PAGE </w:instrText>
                    </w:r>
                    <w:r>
                      <w:rPr>
                        <w:sz w:val="24"/>
                      </w:rPr>
                      <w:fldChar w:fldCharType="separate"/>
                    </w:r>
                    <w:r>
                      <w:rPr>
                        <w:sz w:val="24"/>
                      </w:rPr>
                      <w:t>16</w:t>
                    </w:r>
                    <w:r>
                      <w:rPr>
                        <w:sz w:val="24"/>
                      </w:rPr>
                      <w:fldChar w:fldCharType="end"/>
                    </w:r>
                    <w:r>
                      <w:rPr>
                        <w:sz w:val="24"/>
                      </w:rPr>
                      <w:t> </w:t>
                    </w:r>
                    <w:r>
                      <w:rPr>
                        <w:b/>
                        <w:spacing w:val="-10"/>
                        <w:sz w:val="22"/>
                      </w:rPr>
                      <w: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40864">
              <wp:simplePos x="0" y="0"/>
              <wp:positionH relativeFrom="page">
                <wp:posOffset>4899139</wp:posOffset>
              </wp:positionH>
              <wp:positionV relativeFrom="page">
                <wp:posOffset>492209</wp:posOffset>
              </wp:positionV>
              <wp:extent cx="157353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73530" cy="194310"/>
                      </a:xfrm>
                      <a:prstGeom prst="rect">
                        <a:avLst/>
                      </a:prstGeom>
                    </wps:spPr>
                    <wps:txbx>
                      <w:txbxContent>
                        <w:p>
                          <w:pPr>
                            <w:spacing w:before="10"/>
                            <w:ind w:left="20" w:right="0" w:firstLine="0"/>
                            <w:jc w:val="left"/>
                            <w:rPr>
                              <w:sz w:val="24"/>
                            </w:rPr>
                          </w:pPr>
                          <w:r>
                            <w:rPr>
                              <w:sz w:val="22"/>
                            </w:rPr>
                            <w:t>Yulianti</w:t>
                          </w:r>
                          <w:r>
                            <w:rPr>
                              <w:spacing w:val="-7"/>
                              <w:sz w:val="22"/>
                            </w:rPr>
                            <w:t> </w:t>
                          </w:r>
                          <w:r>
                            <w:rPr>
                              <w:sz w:val="22"/>
                            </w:rPr>
                            <w:t>Tan</w:t>
                          </w:r>
                          <w:r>
                            <w:rPr>
                              <w:spacing w:val="-6"/>
                              <w:sz w:val="22"/>
                            </w:rPr>
                            <w:t> </w:t>
                          </w:r>
                          <w:r>
                            <w:rPr>
                              <w:sz w:val="24"/>
                            </w:rPr>
                            <w:t>dan</w:t>
                          </w:r>
                          <w:r>
                            <w:rPr>
                              <w:spacing w:val="-3"/>
                              <w:sz w:val="24"/>
                            </w:rPr>
                            <w:t> </w:t>
                          </w:r>
                          <w:r>
                            <w:rPr>
                              <w:sz w:val="24"/>
                            </w:rPr>
                            <w:t>Dewi</w:t>
                          </w:r>
                          <w:r>
                            <w:rPr>
                              <w:spacing w:val="-1"/>
                              <w:sz w:val="24"/>
                            </w:rPr>
                            <w:t> </w:t>
                          </w:r>
                          <w:r>
                            <w:rPr>
                              <w:spacing w:val="-5"/>
                              <w:sz w:val="24"/>
                            </w:rPr>
                            <w:t>Sri</w:t>
                          </w:r>
                        </w:p>
                      </w:txbxContent>
                    </wps:txbx>
                    <wps:bodyPr wrap="square" lIns="0" tIns="0" rIns="0" bIns="0" rtlCol="0">
                      <a:noAutofit/>
                    </wps:bodyPr>
                  </wps:wsp>
                </a:graphicData>
              </a:graphic>
            </wp:anchor>
          </w:drawing>
        </mc:Choice>
        <mc:Fallback>
          <w:pict>
            <v:shape style="position:absolute;margin-left:385.759003pt;margin-top:38.756641pt;width:123.9pt;height:15.3pt;mso-position-horizontal-relative:page;mso-position-vertical-relative:page;z-index:-16175616" type="#_x0000_t202" id="docshape6" filled="false" stroked="false">
              <v:textbox inset="0,0,0,0">
                <w:txbxContent>
                  <w:p>
                    <w:pPr>
                      <w:spacing w:before="10"/>
                      <w:ind w:left="20" w:right="0" w:firstLine="0"/>
                      <w:jc w:val="left"/>
                      <w:rPr>
                        <w:sz w:val="24"/>
                      </w:rPr>
                    </w:pPr>
                    <w:r>
                      <w:rPr>
                        <w:sz w:val="22"/>
                      </w:rPr>
                      <w:t>Yulianti</w:t>
                    </w:r>
                    <w:r>
                      <w:rPr>
                        <w:spacing w:val="-7"/>
                        <w:sz w:val="22"/>
                      </w:rPr>
                      <w:t> </w:t>
                    </w:r>
                    <w:r>
                      <w:rPr>
                        <w:sz w:val="22"/>
                      </w:rPr>
                      <w:t>Tan</w:t>
                    </w:r>
                    <w:r>
                      <w:rPr>
                        <w:spacing w:val="-6"/>
                        <w:sz w:val="22"/>
                      </w:rPr>
                      <w:t> </w:t>
                    </w:r>
                    <w:r>
                      <w:rPr>
                        <w:sz w:val="24"/>
                      </w:rPr>
                      <w:t>dan</w:t>
                    </w:r>
                    <w:r>
                      <w:rPr>
                        <w:spacing w:val="-3"/>
                        <w:sz w:val="24"/>
                      </w:rPr>
                      <w:t> </w:t>
                    </w:r>
                    <w:r>
                      <w:rPr>
                        <w:sz w:val="24"/>
                      </w:rPr>
                      <w:t>Dewi</w:t>
                    </w:r>
                    <w:r>
                      <w:rPr>
                        <w:spacing w:val="-1"/>
                        <w:sz w:val="24"/>
                      </w:rPr>
                      <w:t> </w:t>
                    </w:r>
                    <w:r>
                      <w:rPr>
                        <w:spacing w:val="-5"/>
                        <w:sz w:val="24"/>
                      </w:rPr>
                      <w:t>Sri</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41376">
              <wp:simplePos x="0" y="0"/>
              <wp:positionH relativeFrom="page">
                <wp:posOffset>1421130</wp:posOffset>
              </wp:positionH>
              <wp:positionV relativeFrom="page">
                <wp:posOffset>688975</wp:posOffset>
              </wp:positionV>
              <wp:extent cx="5077460" cy="635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5077460" cy="6350"/>
                      </a:xfrm>
                      <a:custGeom>
                        <a:avLst/>
                        <a:gdLst/>
                        <a:ahLst/>
                        <a:cxnLst/>
                        <a:rect l="l" t="t" r="r" b="b"/>
                        <a:pathLst>
                          <a:path w="5077460" h="6350">
                            <a:moveTo>
                              <a:pt x="5077333" y="6095"/>
                            </a:moveTo>
                            <a:lnTo>
                              <a:pt x="0" y="6095"/>
                            </a:lnTo>
                            <a:lnTo>
                              <a:pt x="0" y="0"/>
                            </a:lnTo>
                            <a:lnTo>
                              <a:pt x="5077333" y="0"/>
                            </a:lnTo>
                            <a:lnTo>
                              <a:pt x="5077333"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1.900002pt;margin-top:54.25pt;width:399.79pt;height:.48pt;mso-position-horizontal-relative:page;mso-position-vertical-relative:page;z-index:-16175104" id="docshape1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141888">
              <wp:simplePos x="0" y="0"/>
              <wp:positionH relativeFrom="page">
                <wp:posOffset>2073910</wp:posOffset>
              </wp:positionH>
              <wp:positionV relativeFrom="page">
                <wp:posOffset>1585467</wp:posOffset>
              </wp:positionV>
              <wp:extent cx="3780154"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3780154" cy="1270"/>
                      </a:xfrm>
                      <a:custGeom>
                        <a:avLst/>
                        <a:gdLst/>
                        <a:ahLst/>
                        <a:cxnLst/>
                        <a:rect l="l" t="t" r="r" b="b"/>
                        <a:pathLst>
                          <a:path w="3780154" h="0">
                            <a:moveTo>
                              <a:pt x="0" y="0"/>
                            </a:moveTo>
                            <a:lnTo>
                              <a:pt x="378015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74592" from="163.300003pt,124.839996pt" to="460.950003pt,124.839996pt" stroked="true" strokeweight=".4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142400">
              <wp:simplePos x="0" y="0"/>
              <wp:positionH relativeFrom="page">
                <wp:posOffset>1518919</wp:posOffset>
              </wp:positionH>
              <wp:positionV relativeFrom="page">
                <wp:posOffset>492209</wp:posOffset>
              </wp:positionV>
              <wp:extent cx="3480435" cy="19431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3480435" cy="194310"/>
                      </a:xfrm>
                      <a:prstGeom prst="rect">
                        <a:avLst/>
                      </a:prstGeom>
                    </wps:spPr>
                    <wps:txbx>
                      <w:txbxContent>
                        <w:p>
                          <w:pPr>
                            <w:pStyle w:val="BodyText"/>
                            <w:spacing w:before="10"/>
                            <w:ind w:left="20"/>
                          </w:pPr>
                          <w:r>
                            <w:rPr/>
                            <w:t>Jurnal</w:t>
                          </w:r>
                          <w:r>
                            <w:rPr>
                              <w:spacing w:val="-10"/>
                            </w:rPr>
                            <w:t> </w:t>
                          </w:r>
                          <w:r>
                            <w:rPr/>
                            <w:t>Informasi</w:t>
                          </w:r>
                          <w:r>
                            <w:rPr>
                              <w:spacing w:val="-6"/>
                            </w:rPr>
                            <w:t> </w:t>
                          </w:r>
                          <w:r>
                            <w:rPr/>
                            <w:t>Akuntansi,</w:t>
                          </w:r>
                          <w:r>
                            <w:rPr>
                              <w:spacing w:val="-9"/>
                            </w:rPr>
                            <w:t> </w:t>
                          </w:r>
                          <w:r>
                            <w:rPr/>
                            <w:t>Vol</w:t>
                          </w:r>
                          <w:r>
                            <w:rPr>
                              <w:spacing w:val="-11"/>
                            </w:rPr>
                            <w:t> </w:t>
                          </w:r>
                          <w:r>
                            <w:rPr/>
                            <w:t>4,</w:t>
                          </w:r>
                          <w:r>
                            <w:rPr>
                              <w:spacing w:val="-7"/>
                            </w:rPr>
                            <w:t> </w:t>
                          </w:r>
                          <w:r>
                            <w:rPr/>
                            <w:t>No</w:t>
                          </w:r>
                          <w:r>
                            <w:rPr>
                              <w:spacing w:val="-9"/>
                            </w:rPr>
                            <w:t> </w:t>
                          </w:r>
                          <w:r>
                            <w:rPr/>
                            <w:t>3,</w:t>
                          </w:r>
                          <w:r>
                            <w:rPr>
                              <w:spacing w:val="-10"/>
                            </w:rPr>
                            <w:t> </w:t>
                          </w:r>
                          <w:r>
                            <w:rPr/>
                            <w:t>Desember</w:t>
                          </w:r>
                          <w:r>
                            <w:rPr>
                              <w:spacing w:val="-15"/>
                            </w:rPr>
                            <w:t> </w:t>
                          </w:r>
                          <w:r>
                            <w:rPr>
                              <w:spacing w:val="-4"/>
                            </w:rPr>
                            <w:t>2025</w:t>
                          </w:r>
                        </w:p>
                      </w:txbxContent>
                    </wps:txbx>
                    <wps:bodyPr wrap="square" lIns="0" tIns="0" rIns="0" bIns="0" rtlCol="0">
                      <a:noAutofit/>
                    </wps:bodyPr>
                  </wps:wsp>
                </a:graphicData>
              </a:graphic>
            </wp:anchor>
          </w:drawing>
        </mc:Choice>
        <mc:Fallback>
          <w:pict>
            <v:shape style="position:absolute;margin-left:119.599998pt;margin-top:38.756641pt;width:274.05pt;height:15.3pt;mso-position-horizontal-relative:page;mso-position-vertical-relative:page;z-index:-16174080" type="#_x0000_t202" id="docshape14" filled="false" stroked="false">
              <v:textbox inset="0,0,0,0">
                <w:txbxContent>
                  <w:p>
                    <w:pPr>
                      <w:pStyle w:val="BodyText"/>
                      <w:spacing w:before="10"/>
                      <w:ind w:left="20"/>
                    </w:pPr>
                    <w:r>
                      <w:rPr/>
                      <w:t>Jurnal</w:t>
                    </w:r>
                    <w:r>
                      <w:rPr>
                        <w:spacing w:val="-10"/>
                      </w:rPr>
                      <w:t> </w:t>
                    </w:r>
                    <w:r>
                      <w:rPr/>
                      <w:t>Informasi</w:t>
                    </w:r>
                    <w:r>
                      <w:rPr>
                        <w:spacing w:val="-6"/>
                      </w:rPr>
                      <w:t> </w:t>
                    </w:r>
                    <w:r>
                      <w:rPr/>
                      <w:t>Akuntansi,</w:t>
                    </w:r>
                    <w:r>
                      <w:rPr>
                        <w:spacing w:val="-9"/>
                      </w:rPr>
                      <w:t> </w:t>
                    </w:r>
                    <w:r>
                      <w:rPr/>
                      <w:t>Vol</w:t>
                    </w:r>
                    <w:r>
                      <w:rPr>
                        <w:spacing w:val="-11"/>
                      </w:rPr>
                      <w:t> </w:t>
                    </w:r>
                    <w:r>
                      <w:rPr/>
                      <w:t>4,</w:t>
                    </w:r>
                    <w:r>
                      <w:rPr>
                        <w:spacing w:val="-7"/>
                      </w:rPr>
                      <w:t> </w:t>
                    </w:r>
                    <w:r>
                      <w:rPr/>
                      <w:t>No</w:t>
                    </w:r>
                    <w:r>
                      <w:rPr>
                        <w:spacing w:val="-9"/>
                      </w:rPr>
                      <w:t> </w:t>
                    </w:r>
                    <w:r>
                      <w:rPr/>
                      <w:t>3,</w:t>
                    </w:r>
                    <w:r>
                      <w:rPr>
                        <w:spacing w:val="-10"/>
                      </w:rPr>
                      <w:t> </w:t>
                    </w:r>
                    <w:r>
                      <w:rPr/>
                      <w:t>Desember</w:t>
                    </w:r>
                    <w:r>
                      <w:rPr>
                        <w:spacing w:val="-15"/>
                      </w:rPr>
                      <w:t> </w:t>
                    </w:r>
                    <w:r>
                      <w:rPr>
                        <w:spacing w:val="-4"/>
                      </w:rPr>
                      <w:t>2025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42912">
              <wp:simplePos x="0" y="0"/>
              <wp:positionH relativeFrom="page">
                <wp:posOffset>6209779</wp:posOffset>
              </wp:positionH>
              <wp:positionV relativeFrom="page">
                <wp:posOffset>502960</wp:posOffset>
              </wp:positionV>
              <wp:extent cx="263525" cy="18097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63525" cy="180975"/>
                      </a:xfrm>
                      <a:prstGeom prst="rect">
                        <a:avLst/>
                      </a:prstGeom>
                    </wps:spPr>
                    <wps:txbx>
                      <w:txbxContent>
                        <w:p>
                          <w:pPr>
                            <w:spacing w:before="11"/>
                            <w:ind w:left="20" w:right="0" w:firstLine="0"/>
                            <w:jc w:val="left"/>
                            <w:rPr>
                              <w:sz w:val="22"/>
                            </w:rPr>
                          </w:pPr>
                          <w:r>
                            <w:rPr>
                              <w:sz w:val="22"/>
                            </w:rPr>
                            <w:t>|</w:t>
                          </w:r>
                          <w:r>
                            <w:rPr>
                              <w:spacing w:val="-4"/>
                              <w:sz w:val="22"/>
                            </w:rPr>
                            <w:t> </w:t>
                          </w:r>
                          <w:r>
                            <w:rPr>
                              <w:spacing w:val="-5"/>
                              <w:sz w:val="22"/>
                            </w:rPr>
                            <w:fldChar w:fldCharType="begin"/>
                          </w:r>
                          <w:r>
                            <w:rPr>
                              <w:spacing w:val="-5"/>
                              <w:sz w:val="22"/>
                            </w:rPr>
                            <w:instrText> PAGE </w:instrText>
                          </w:r>
                          <w:r>
                            <w:rPr>
                              <w:spacing w:val="-5"/>
                              <w:sz w:val="22"/>
                            </w:rPr>
                            <w:fldChar w:fldCharType="separate"/>
                          </w:r>
                          <w:r>
                            <w:rPr>
                              <w:spacing w:val="-5"/>
                              <w:sz w:val="22"/>
                            </w:rPr>
                            <w:t>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88.959015pt;margin-top:39.603199pt;width:20.75pt;height:14.25pt;mso-position-horizontal-relative:page;mso-position-vertical-relative:page;z-index:-16173568" type="#_x0000_t202" id="docshape15" filled="false" stroked="false">
              <v:textbox inset="0,0,0,0">
                <w:txbxContent>
                  <w:p>
                    <w:pPr>
                      <w:spacing w:before="11"/>
                      <w:ind w:left="20" w:right="0" w:firstLine="0"/>
                      <w:jc w:val="left"/>
                      <w:rPr>
                        <w:sz w:val="22"/>
                      </w:rPr>
                    </w:pPr>
                    <w:r>
                      <w:rPr>
                        <w:sz w:val="22"/>
                      </w:rPr>
                      <w:t>|</w:t>
                    </w:r>
                    <w:r>
                      <w:rPr>
                        <w:spacing w:val="-4"/>
                        <w:sz w:val="22"/>
                      </w:rPr>
                      <w:t> </w:t>
                    </w:r>
                    <w:r>
                      <w:rPr>
                        <w:spacing w:val="-5"/>
                        <w:sz w:val="22"/>
                      </w:rPr>
                      <w:fldChar w:fldCharType="begin"/>
                    </w:r>
                    <w:r>
                      <w:rPr>
                        <w:spacing w:val="-5"/>
                        <w:sz w:val="22"/>
                      </w:rPr>
                      <w:instrText> PAGE </w:instrText>
                    </w:r>
                    <w:r>
                      <w:rPr>
                        <w:spacing w:val="-5"/>
                        <w:sz w:val="22"/>
                      </w:rPr>
                      <w:fldChar w:fldCharType="separate"/>
                    </w:r>
                    <w:r>
                      <w:rPr>
                        <w:spacing w:val="-5"/>
                        <w:sz w:val="22"/>
                      </w:rPr>
                      <w:t>25</w:t>
                    </w:r>
                    <w:r>
                      <w:rPr>
                        <w:spacing w:val="-5"/>
                        <w:sz w:val="22"/>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43424">
              <wp:simplePos x="0" y="0"/>
              <wp:positionH relativeFrom="page">
                <wp:posOffset>1421130</wp:posOffset>
              </wp:positionH>
              <wp:positionV relativeFrom="page">
                <wp:posOffset>688975</wp:posOffset>
              </wp:positionV>
              <wp:extent cx="5077460" cy="635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5077460" cy="6350"/>
                      </a:xfrm>
                      <a:custGeom>
                        <a:avLst/>
                        <a:gdLst/>
                        <a:ahLst/>
                        <a:cxnLst/>
                        <a:rect l="l" t="t" r="r" b="b"/>
                        <a:pathLst>
                          <a:path w="5077460" h="6350">
                            <a:moveTo>
                              <a:pt x="5077333" y="6095"/>
                            </a:moveTo>
                            <a:lnTo>
                              <a:pt x="0" y="6095"/>
                            </a:lnTo>
                            <a:lnTo>
                              <a:pt x="0" y="0"/>
                            </a:lnTo>
                            <a:lnTo>
                              <a:pt x="5077333" y="0"/>
                            </a:lnTo>
                            <a:lnTo>
                              <a:pt x="5077333"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1.900002pt;margin-top:54.25pt;width:399.79pt;height:.48pt;mso-position-horizontal-relative:page;mso-position-vertical-relative:page;z-index:-16173056" id="docshape16"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143936">
              <wp:simplePos x="0" y="0"/>
              <wp:positionH relativeFrom="page">
                <wp:posOffset>1493519</wp:posOffset>
              </wp:positionH>
              <wp:positionV relativeFrom="page">
                <wp:posOffset>492209</wp:posOffset>
              </wp:positionV>
              <wp:extent cx="272415" cy="19431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72415" cy="194310"/>
                      </a:xfrm>
                      <a:prstGeom prst="rect">
                        <a:avLst/>
                      </a:prstGeom>
                    </wps:spPr>
                    <wps:txbx>
                      <w:txbxContent>
                        <w:p>
                          <w:pPr>
                            <w:spacing w:before="10"/>
                            <w:ind w:left="60" w:right="0" w:firstLine="0"/>
                            <w:jc w:val="left"/>
                            <w:rPr>
                              <w:b/>
                              <w:sz w:val="22"/>
                            </w:rPr>
                          </w:pPr>
                          <w:r>
                            <w:rPr>
                              <w:sz w:val="24"/>
                            </w:rPr>
                            <w:fldChar w:fldCharType="begin"/>
                          </w:r>
                          <w:r>
                            <w:rPr>
                              <w:sz w:val="24"/>
                            </w:rPr>
                            <w:instrText> PAGE </w:instrText>
                          </w:r>
                          <w:r>
                            <w:rPr>
                              <w:sz w:val="24"/>
                            </w:rPr>
                            <w:fldChar w:fldCharType="separate"/>
                          </w:r>
                          <w:r>
                            <w:rPr>
                              <w:sz w:val="24"/>
                            </w:rPr>
                            <w:t>26</w:t>
                          </w:r>
                          <w:r>
                            <w:rPr>
                              <w:sz w:val="24"/>
                            </w:rPr>
                            <w:fldChar w:fldCharType="end"/>
                          </w:r>
                          <w:r>
                            <w:rPr>
                              <w:sz w:val="24"/>
                            </w:rPr>
                            <w:t> </w:t>
                          </w:r>
                          <w:r>
                            <w:rPr>
                              <w:b/>
                              <w:spacing w:val="-10"/>
                              <w:sz w:val="22"/>
                            </w:rPr>
                            <w:t>|</w:t>
                          </w:r>
                        </w:p>
                      </w:txbxContent>
                    </wps:txbx>
                    <wps:bodyPr wrap="square" lIns="0" tIns="0" rIns="0" bIns="0" rtlCol="0">
                      <a:noAutofit/>
                    </wps:bodyPr>
                  </wps:wsp>
                </a:graphicData>
              </a:graphic>
            </wp:anchor>
          </w:drawing>
        </mc:Choice>
        <mc:Fallback>
          <w:pict>
            <v:shape style="position:absolute;margin-left:117.599998pt;margin-top:38.756641pt;width:21.45pt;height:15.3pt;mso-position-horizontal-relative:page;mso-position-vertical-relative:page;z-index:-16172544" type="#_x0000_t202" id="docshape17" filled="false" stroked="false">
              <v:textbox inset="0,0,0,0">
                <w:txbxContent>
                  <w:p>
                    <w:pPr>
                      <w:spacing w:before="10"/>
                      <w:ind w:left="60" w:right="0" w:firstLine="0"/>
                      <w:jc w:val="left"/>
                      <w:rPr>
                        <w:b/>
                        <w:sz w:val="22"/>
                      </w:rPr>
                    </w:pPr>
                    <w:r>
                      <w:rPr>
                        <w:sz w:val="24"/>
                      </w:rPr>
                      <w:fldChar w:fldCharType="begin"/>
                    </w:r>
                    <w:r>
                      <w:rPr>
                        <w:sz w:val="24"/>
                      </w:rPr>
                      <w:instrText> PAGE </w:instrText>
                    </w:r>
                    <w:r>
                      <w:rPr>
                        <w:sz w:val="24"/>
                      </w:rPr>
                      <w:fldChar w:fldCharType="separate"/>
                    </w:r>
                    <w:r>
                      <w:rPr>
                        <w:sz w:val="24"/>
                      </w:rPr>
                      <w:t>26</w:t>
                    </w:r>
                    <w:r>
                      <w:rPr>
                        <w:sz w:val="24"/>
                      </w:rPr>
                      <w:fldChar w:fldCharType="end"/>
                    </w:r>
                    <w:r>
                      <w:rPr>
                        <w:sz w:val="24"/>
                      </w:rPr>
                      <w:t> </w:t>
                    </w:r>
                    <w:r>
                      <w:rPr>
                        <w:b/>
                        <w:spacing w:val="-10"/>
                        <w:sz w:val="22"/>
                      </w:rPr>
                      <w: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44448">
              <wp:simplePos x="0" y="0"/>
              <wp:positionH relativeFrom="page">
                <wp:posOffset>4899139</wp:posOffset>
              </wp:positionH>
              <wp:positionV relativeFrom="page">
                <wp:posOffset>492209</wp:posOffset>
              </wp:positionV>
              <wp:extent cx="1573530" cy="19431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573530" cy="194310"/>
                      </a:xfrm>
                      <a:prstGeom prst="rect">
                        <a:avLst/>
                      </a:prstGeom>
                    </wps:spPr>
                    <wps:txbx>
                      <w:txbxContent>
                        <w:p>
                          <w:pPr>
                            <w:spacing w:before="10"/>
                            <w:ind w:left="20" w:right="0" w:firstLine="0"/>
                            <w:jc w:val="left"/>
                            <w:rPr>
                              <w:sz w:val="24"/>
                            </w:rPr>
                          </w:pPr>
                          <w:r>
                            <w:rPr>
                              <w:sz w:val="22"/>
                            </w:rPr>
                            <w:t>Yulianti</w:t>
                          </w:r>
                          <w:r>
                            <w:rPr>
                              <w:spacing w:val="-7"/>
                              <w:sz w:val="22"/>
                            </w:rPr>
                            <w:t> </w:t>
                          </w:r>
                          <w:r>
                            <w:rPr>
                              <w:sz w:val="22"/>
                            </w:rPr>
                            <w:t>Tan</w:t>
                          </w:r>
                          <w:r>
                            <w:rPr>
                              <w:spacing w:val="-6"/>
                              <w:sz w:val="22"/>
                            </w:rPr>
                            <w:t> </w:t>
                          </w:r>
                          <w:r>
                            <w:rPr>
                              <w:sz w:val="24"/>
                            </w:rPr>
                            <w:t>dan</w:t>
                          </w:r>
                          <w:r>
                            <w:rPr>
                              <w:spacing w:val="-3"/>
                              <w:sz w:val="24"/>
                            </w:rPr>
                            <w:t> </w:t>
                          </w:r>
                          <w:r>
                            <w:rPr>
                              <w:sz w:val="24"/>
                            </w:rPr>
                            <w:t>Dewi</w:t>
                          </w:r>
                          <w:r>
                            <w:rPr>
                              <w:spacing w:val="-1"/>
                              <w:sz w:val="24"/>
                            </w:rPr>
                            <w:t> </w:t>
                          </w:r>
                          <w:r>
                            <w:rPr>
                              <w:spacing w:val="-5"/>
                              <w:sz w:val="24"/>
                            </w:rPr>
                            <w:t>Sri</w:t>
                          </w:r>
                        </w:p>
                      </w:txbxContent>
                    </wps:txbx>
                    <wps:bodyPr wrap="square" lIns="0" tIns="0" rIns="0" bIns="0" rtlCol="0">
                      <a:noAutofit/>
                    </wps:bodyPr>
                  </wps:wsp>
                </a:graphicData>
              </a:graphic>
            </wp:anchor>
          </w:drawing>
        </mc:Choice>
        <mc:Fallback>
          <w:pict>
            <v:shape style="position:absolute;margin-left:385.759003pt;margin-top:38.756641pt;width:123.9pt;height:15.3pt;mso-position-horizontal-relative:page;mso-position-vertical-relative:page;z-index:-16172032" type="#_x0000_t202" id="docshape18" filled="false" stroked="false">
              <v:textbox inset="0,0,0,0">
                <w:txbxContent>
                  <w:p>
                    <w:pPr>
                      <w:spacing w:before="10"/>
                      <w:ind w:left="20" w:right="0" w:firstLine="0"/>
                      <w:jc w:val="left"/>
                      <w:rPr>
                        <w:sz w:val="24"/>
                      </w:rPr>
                    </w:pPr>
                    <w:r>
                      <w:rPr>
                        <w:sz w:val="22"/>
                      </w:rPr>
                      <w:t>Yulianti</w:t>
                    </w:r>
                    <w:r>
                      <w:rPr>
                        <w:spacing w:val="-7"/>
                        <w:sz w:val="22"/>
                      </w:rPr>
                      <w:t> </w:t>
                    </w:r>
                    <w:r>
                      <w:rPr>
                        <w:sz w:val="22"/>
                      </w:rPr>
                      <w:t>Tan</w:t>
                    </w:r>
                    <w:r>
                      <w:rPr>
                        <w:spacing w:val="-6"/>
                        <w:sz w:val="22"/>
                      </w:rPr>
                      <w:t> </w:t>
                    </w:r>
                    <w:r>
                      <w:rPr>
                        <w:sz w:val="24"/>
                      </w:rPr>
                      <w:t>dan</w:t>
                    </w:r>
                    <w:r>
                      <w:rPr>
                        <w:spacing w:val="-3"/>
                        <w:sz w:val="24"/>
                      </w:rPr>
                      <w:t> </w:t>
                    </w:r>
                    <w:r>
                      <w:rPr>
                        <w:sz w:val="24"/>
                      </w:rPr>
                      <w:t>Dewi</w:t>
                    </w:r>
                    <w:r>
                      <w:rPr>
                        <w:spacing w:val="-1"/>
                        <w:sz w:val="24"/>
                      </w:rPr>
                      <w:t> </w:t>
                    </w:r>
                    <w:r>
                      <w:rPr>
                        <w:spacing w:val="-5"/>
                        <w:sz w:val="24"/>
                      </w:rPr>
                      <w:t>Sri</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44960">
              <wp:simplePos x="0" y="0"/>
              <wp:positionH relativeFrom="page">
                <wp:posOffset>1421130</wp:posOffset>
              </wp:positionH>
              <wp:positionV relativeFrom="page">
                <wp:posOffset>688975</wp:posOffset>
              </wp:positionV>
              <wp:extent cx="5077460" cy="635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5077460" cy="6350"/>
                      </a:xfrm>
                      <a:custGeom>
                        <a:avLst/>
                        <a:gdLst/>
                        <a:ahLst/>
                        <a:cxnLst/>
                        <a:rect l="l" t="t" r="r" b="b"/>
                        <a:pathLst>
                          <a:path w="5077460" h="6350">
                            <a:moveTo>
                              <a:pt x="5077333" y="6095"/>
                            </a:moveTo>
                            <a:lnTo>
                              <a:pt x="0" y="6095"/>
                            </a:lnTo>
                            <a:lnTo>
                              <a:pt x="0" y="0"/>
                            </a:lnTo>
                            <a:lnTo>
                              <a:pt x="5077333" y="0"/>
                            </a:lnTo>
                            <a:lnTo>
                              <a:pt x="5077333"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1.900002pt;margin-top:54.25pt;width:399.79pt;height:.48pt;mso-position-horizontal-relative:page;mso-position-vertical-relative:page;z-index:-16171520" id="docshape29"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145472">
              <wp:simplePos x="0" y="0"/>
              <wp:positionH relativeFrom="page">
                <wp:posOffset>1518919</wp:posOffset>
              </wp:positionH>
              <wp:positionV relativeFrom="page">
                <wp:posOffset>492209</wp:posOffset>
              </wp:positionV>
              <wp:extent cx="3480435" cy="19431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3480435" cy="194310"/>
                      </a:xfrm>
                      <a:prstGeom prst="rect">
                        <a:avLst/>
                      </a:prstGeom>
                    </wps:spPr>
                    <wps:txbx>
                      <w:txbxContent>
                        <w:p>
                          <w:pPr>
                            <w:pStyle w:val="BodyText"/>
                            <w:spacing w:before="10"/>
                            <w:ind w:left="20"/>
                          </w:pPr>
                          <w:r>
                            <w:rPr/>
                            <w:t>Jurnal</w:t>
                          </w:r>
                          <w:r>
                            <w:rPr>
                              <w:spacing w:val="-10"/>
                            </w:rPr>
                            <w:t> </w:t>
                          </w:r>
                          <w:r>
                            <w:rPr/>
                            <w:t>Informasi</w:t>
                          </w:r>
                          <w:r>
                            <w:rPr>
                              <w:spacing w:val="-6"/>
                            </w:rPr>
                            <w:t> </w:t>
                          </w:r>
                          <w:r>
                            <w:rPr/>
                            <w:t>Akuntansi,</w:t>
                          </w:r>
                          <w:r>
                            <w:rPr>
                              <w:spacing w:val="-9"/>
                            </w:rPr>
                            <w:t> </w:t>
                          </w:r>
                          <w:r>
                            <w:rPr/>
                            <w:t>Vol</w:t>
                          </w:r>
                          <w:r>
                            <w:rPr>
                              <w:spacing w:val="-11"/>
                            </w:rPr>
                            <w:t> </w:t>
                          </w:r>
                          <w:r>
                            <w:rPr/>
                            <w:t>4,</w:t>
                          </w:r>
                          <w:r>
                            <w:rPr>
                              <w:spacing w:val="-7"/>
                            </w:rPr>
                            <w:t> </w:t>
                          </w:r>
                          <w:r>
                            <w:rPr/>
                            <w:t>No</w:t>
                          </w:r>
                          <w:r>
                            <w:rPr>
                              <w:spacing w:val="-9"/>
                            </w:rPr>
                            <w:t> </w:t>
                          </w:r>
                          <w:r>
                            <w:rPr/>
                            <w:t>3,</w:t>
                          </w:r>
                          <w:r>
                            <w:rPr>
                              <w:spacing w:val="-10"/>
                            </w:rPr>
                            <w:t> </w:t>
                          </w:r>
                          <w:r>
                            <w:rPr/>
                            <w:t>Desember</w:t>
                          </w:r>
                          <w:r>
                            <w:rPr>
                              <w:spacing w:val="-15"/>
                            </w:rPr>
                            <w:t> </w:t>
                          </w:r>
                          <w:r>
                            <w:rPr>
                              <w:spacing w:val="-4"/>
                            </w:rPr>
                            <w:t>2025</w:t>
                          </w:r>
                        </w:p>
                      </w:txbxContent>
                    </wps:txbx>
                    <wps:bodyPr wrap="square" lIns="0" tIns="0" rIns="0" bIns="0" rtlCol="0">
                      <a:noAutofit/>
                    </wps:bodyPr>
                  </wps:wsp>
                </a:graphicData>
              </a:graphic>
            </wp:anchor>
          </w:drawing>
        </mc:Choice>
        <mc:Fallback>
          <w:pict>
            <v:shape style="position:absolute;margin-left:119.599998pt;margin-top:38.756641pt;width:274.05pt;height:15.3pt;mso-position-horizontal-relative:page;mso-position-vertical-relative:page;z-index:-16171008" type="#_x0000_t202" id="docshape30" filled="false" stroked="false">
              <v:textbox inset="0,0,0,0">
                <w:txbxContent>
                  <w:p>
                    <w:pPr>
                      <w:pStyle w:val="BodyText"/>
                      <w:spacing w:before="10"/>
                      <w:ind w:left="20"/>
                    </w:pPr>
                    <w:r>
                      <w:rPr/>
                      <w:t>Jurnal</w:t>
                    </w:r>
                    <w:r>
                      <w:rPr>
                        <w:spacing w:val="-10"/>
                      </w:rPr>
                      <w:t> </w:t>
                    </w:r>
                    <w:r>
                      <w:rPr/>
                      <w:t>Informasi</w:t>
                    </w:r>
                    <w:r>
                      <w:rPr>
                        <w:spacing w:val="-6"/>
                      </w:rPr>
                      <w:t> </w:t>
                    </w:r>
                    <w:r>
                      <w:rPr/>
                      <w:t>Akuntansi,</w:t>
                    </w:r>
                    <w:r>
                      <w:rPr>
                        <w:spacing w:val="-9"/>
                      </w:rPr>
                      <w:t> </w:t>
                    </w:r>
                    <w:r>
                      <w:rPr/>
                      <w:t>Vol</w:t>
                    </w:r>
                    <w:r>
                      <w:rPr>
                        <w:spacing w:val="-11"/>
                      </w:rPr>
                      <w:t> </w:t>
                    </w:r>
                    <w:r>
                      <w:rPr/>
                      <w:t>4,</w:t>
                    </w:r>
                    <w:r>
                      <w:rPr>
                        <w:spacing w:val="-7"/>
                      </w:rPr>
                      <w:t> </w:t>
                    </w:r>
                    <w:r>
                      <w:rPr/>
                      <w:t>No</w:t>
                    </w:r>
                    <w:r>
                      <w:rPr>
                        <w:spacing w:val="-9"/>
                      </w:rPr>
                      <w:t> </w:t>
                    </w:r>
                    <w:r>
                      <w:rPr/>
                      <w:t>3,</w:t>
                    </w:r>
                    <w:r>
                      <w:rPr>
                        <w:spacing w:val="-10"/>
                      </w:rPr>
                      <w:t> </w:t>
                    </w:r>
                    <w:r>
                      <w:rPr/>
                      <w:t>Desember</w:t>
                    </w:r>
                    <w:r>
                      <w:rPr>
                        <w:spacing w:val="-15"/>
                      </w:rPr>
                      <w:t> </w:t>
                    </w:r>
                    <w:r>
                      <w:rPr>
                        <w:spacing w:val="-4"/>
                      </w:rPr>
                      <w:t>2025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45984">
              <wp:simplePos x="0" y="0"/>
              <wp:positionH relativeFrom="page">
                <wp:posOffset>6209779</wp:posOffset>
              </wp:positionH>
              <wp:positionV relativeFrom="page">
                <wp:posOffset>502960</wp:posOffset>
              </wp:positionV>
              <wp:extent cx="263525" cy="18097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63525" cy="180975"/>
                      </a:xfrm>
                      <a:prstGeom prst="rect">
                        <a:avLst/>
                      </a:prstGeom>
                    </wps:spPr>
                    <wps:txbx>
                      <w:txbxContent>
                        <w:p>
                          <w:pPr>
                            <w:spacing w:before="11"/>
                            <w:ind w:left="20" w:right="0" w:firstLine="0"/>
                            <w:jc w:val="left"/>
                            <w:rPr>
                              <w:sz w:val="22"/>
                            </w:rPr>
                          </w:pPr>
                          <w:r>
                            <w:rPr>
                              <w:sz w:val="22"/>
                            </w:rPr>
                            <w:t>|</w:t>
                          </w:r>
                          <w:r>
                            <w:rPr>
                              <w:spacing w:val="-4"/>
                              <w:sz w:val="22"/>
                            </w:rPr>
                            <w:t> </w:t>
                          </w: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88.959015pt;margin-top:39.603199pt;width:20.75pt;height:14.25pt;mso-position-horizontal-relative:page;mso-position-vertical-relative:page;z-index:-16170496" type="#_x0000_t202" id="docshape31" filled="false" stroked="false">
              <v:textbox inset="0,0,0,0">
                <w:txbxContent>
                  <w:p>
                    <w:pPr>
                      <w:spacing w:before="11"/>
                      <w:ind w:left="20" w:right="0" w:firstLine="0"/>
                      <w:jc w:val="left"/>
                      <w:rPr>
                        <w:sz w:val="22"/>
                      </w:rPr>
                    </w:pPr>
                    <w:r>
                      <w:rPr>
                        <w:sz w:val="22"/>
                      </w:rPr>
                      <w:t>|</w:t>
                    </w:r>
                    <w:r>
                      <w:rPr>
                        <w:spacing w:val="-4"/>
                        <w:sz w:val="22"/>
                      </w:rPr>
                      <w:t> </w:t>
                    </w: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46496">
              <wp:simplePos x="0" y="0"/>
              <wp:positionH relativeFrom="page">
                <wp:posOffset>1421130</wp:posOffset>
              </wp:positionH>
              <wp:positionV relativeFrom="page">
                <wp:posOffset>688975</wp:posOffset>
              </wp:positionV>
              <wp:extent cx="5077460" cy="635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5077460" cy="6350"/>
                      </a:xfrm>
                      <a:custGeom>
                        <a:avLst/>
                        <a:gdLst/>
                        <a:ahLst/>
                        <a:cxnLst/>
                        <a:rect l="l" t="t" r="r" b="b"/>
                        <a:pathLst>
                          <a:path w="5077460" h="6350">
                            <a:moveTo>
                              <a:pt x="5077333" y="6095"/>
                            </a:moveTo>
                            <a:lnTo>
                              <a:pt x="0" y="6095"/>
                            </a:lnTo>
                            <a:lnTo>
                              <a:pt x="0" y="0"/>
                            </a:lnTo>
                            <a:lnTo>
                              <a:pt x="5077333" y="0"/>
                            </a:lnTo>
                            <a:lnTo>
                              <a:pt x="5077333"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1.900002pt;margin-top:54.25pt;width:399.79pt;height:.48pt;mso-position-horizontal-relative:page;mso-position-vertical-relative:page;z-index:-16169984" id="docshape32"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147008">
              <wp:simplePos x="0" y="0"/>
              <wp:positionH relativeFrom="page">
                <wp:posOffset>1493519</wp:posOffset>
              </wp:positionH>
              <wp:positionV relativeFrom="page">
                <wp:posOffset>492209</wp:posOffset>
              </wp:positionV>
              <wp:extent cx="272415" cy="19431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72415" cy="194310"/>
                      </a:xfrm>
                      <a:prstGeom prst="rect">
                        <a:avLst/>
                      </a:prstGeom>
                    </wps:spPr>
                    <wps:txbx>
                      <w:txbxContent>
                        <w:p>
                          <w:pPr>
                            <w:spacing w:before="10"/>
                            <w:ind w:left="60" w:right="0" w:firstLine="0"/>
                            <w:jc w:val="left"/>
                            <w:rPr>
                              <w:b/>
                              <w:sz w:val="22"/>
                            </w:rPr>
                          </w:pPr>
                          <w:r>
                            <w:rPr>
                              <w:sz w:val="24"/>
                            </w:rPr>
                            <w:fldChar w:fldCharType="begin"/>
                          </w:r>
                          <w:r>
                            <w:rPr>
                              <w:sz w:val="24"/>
                            </w:rPr>
                            <w:instrText> PAGE </w:instrText>
                          </w:r>
                          <w:r>
                            <w:rPr>
                              <w:sz w:val="24"/>
                            </w:rPr>
                            <w:fldChar w:fldCharType="separate"/>
                          </w:r>
                          <w:r>
                            <w:rPr>
                              <w:sz w:val="24"/>
                            </w:rPr>
                            <w:t>30</w:t>
                          </w:r>
                          <w:r>
                            <w:rPr>
                              <w:sz w:val="24"/>
                            </w:rPr>
                            <w:fldChar w:fldCharType="end"/>
                          </w:r>
                          <w:r>
                            <w:rPr>
                              <w:sz w:val="24"/>
                            </w:rPr>
                            <w:t> </w:t>
                          </w:r>
                          <w:r>
                            <w:rPr>
                              <w:b/>
                              <w:spacing w:val="-10"/>
                              <w:sz w:val="22"/>
                            </w:rPr>
                            <w:t>|</w:t>
                          </w:r>
                        </w:p>
                      </w:txbxContent>
                    </wps:txbx>
                    <wps:bodyPr wrap="square" lIns="0" tIns="0" rIns="0" bIns="0" rtlCol="0">
                      <a:noAutofit/>
                    </wps:bodyPr>
                  </wps:wsp>
                </a:graphicData>
              </a:graphic>
            </wp:anchor>
          </w:drawing>
        </mc:Choice>
        <mc:Fallback>
          <w:pict>
            <v:shape style="position:absolute;margin-left:117.599998pt;margin-top:38.756641pt;width:21.45pt;height:15.3pt;mso-position-horizontal-relative:page;mso-position-vertical-relative:page;z-index:-16169472" type="#_x0000_t202" id="docshape33" filled="false" stroked="false">
              <v:textbox inset="0,0,0,0">
                <w:txbxContent>
                  <w:p>
                    <w:pPr>
                      <w:spacing w:before="10"/>
                      <w:ind w:left="60" w:right="0" w:firstLine="0"/>
                      <w:jc w:val="left"/>
                      <w:rPr>
                        <w:b/>
                        <w:sz w:val="22"/>
                      </w:rPr>
                    </w:pPr>
                    <w:r>
                      <w:rPr>
                        <w:sz w:val="24"/>
                      </w:rPr>
                      <w:fldChar w:fldCharType="begin"/>
                    </w:r>
                    <w:r>
                      <w:rPr>
                        <w:sz w:val="24"/>
                      </w:rPr>
                      <w:instrText> PAGE </w:instrText>
                    </w:r>
                    <w:r>
                      <w:rPr>
                        <w:sz w:val="24"/>
                      </w:rPr>
                      <w:fldChar w:fldCharType="separate"/>
                    </w:r>
                    <w:r>
                      <w:rPr>
                        <w:sz w:val="24"/>
                      </w:rPr>
                      <w:t>30</w:t>
                    </w:r>
                    <w:r>
                      <w:rPr>
                        <w:sz w:val="24"/>
                      </w:rPr>
                      <w:fldChar w:fldCharType="end"/>
                    </w:r>
                    <w:r>
                      <w:rPr>
                        <w:sz w:val="24"/>
                      </w:rPr>
                      <w:t> </w:t>
                    </w:r>
                    <w:r>
                      <w:rPr>
                        <w:b/>
                        <w:spacing w:val="-10"/>
                        <w:sz w:val="22"/>
                      </w:rPr>
                      <w: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47520">
              <wp:simplePos x="0" y="0"/>
              <wp:positionH relativeFrom="page">
                <wp:posOffset>4899139</wp:posOffset>
              </wp:positionH>
              <wp:positionV relativeFrom="page">
                <wp:posOffset>492209</wp:posOffset>
              </wp:positionV>
              <wp:extent cx="1573530" cy="19431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573530" cy="194310"/>
                      </a:xfrm>
                      <a:prstGeom prst="rect">
                        <a:avLst/>
                      </a:prstGeom>
                    </wps:spPr>
                    <wps:txbx>
                      <w:txbxContent>
                        <w:p>
                          <w:pPr>
                            <w:spacing w:before="10"/>
                            <w:ind w:left="20" w:right="0" w:firstLine="0"/>
                            <w:jc w:val="left"/>
                            <w:rPr>
                              <w:sz w:val="24"/>
                            </w:rPr>
                          </w:pPr>
                          <w:r>
                            <w:rPr>
                              <w:sz w:val="22"/>
                            </w:rPr>
                            <w:t>Yulianti</w:t>
                          </w:r>
                          <w:r>
                            <w:rPr>
                              <w:spacing w:val="-7"/>
                              <w:sz w:val="22"/>
                            </w:rPr>
                            <w:t> </w:t>
                          </w:r>
                          <w:r>
                            <w:rPr>
                              <w:sz w:val="22"/>
                            </w:rPr>
                            <w:t>Tan</w:t>
                          </w:r>
                          <w:r>
                            <w:rPr>
                              <w:spacing w:val="-6"/>
                              <w:sz w:val="22"/>
                            </w:rPr>
                            <w:t> </w:t>
                          </w:r>
                          <w:r>
                            <w:rPr>
                              <w:sz w:val="24"/>
                            </w:rPr>
                            <w:t>dan</w:t>
                          </w:r>
                          <w:r>
                            <w:rPr>
                              <w:spacing w:val="-3"/>
                              <w:sz w:val="24"/>
                            </w:rPr>
                            <w:t> </w:t>
                          </w:r>
                          <w:r>
                            <w:rPr>
                              <w:sz w:val="24"/>
                            </w:rPr>
                            <w:t>Dewi</w:t>
                          </w:r>
                          <w:r>
                            <w:rPr>
                              <w:spacing w:val="-1"/>
                              <w:sz w:val="24"/>
                            </w:rPr>
                            <w:t> </w:t>
                          </w:r>
                          <w:r>
                            <w:rPr>
                              <w:spacing w:val="-5"/>
                              <w:sz w:val="24"/>
                            </w:rPr>
                            <w:t>Sri</w:t>
                          </w:r>
                        </w:p>
                      </w:txbxContent>
                    </wps:txbx>
                    <wps:bodyPr wrap="square" lIns="0" tIns="0" rIns="0" bIns="0" rtlCol="0">
                      <a:noAutofit/>
                    </wps:bodyPr>
                  </wps:wsp>
                </a:graphicData>
              </a:graphic>
            </wp:anchor>
          </w:drawing>
        </mc:Choice>
        <mc:Fallback>
          <w:pict>
            <v:shape style="position:absolute;margin-left:385.759003pt;margin-top:38.756641pt;width:123.9pt;height:15.3pt;mso-position-horizontal-relative:page;mso-position-vertical-relative:page;z-index:-16168960" type="#_x0000_t202" id="docshape34" filled="false" stroked="false">
              <v:textbox inset="0,0,0,0">
                <w:txbxContent>
                  <w:p>
                    <w:pPr>
                      <w:spacing w:before="10"/>
                      <w:ind w:left="20" w:right="0" w:firstLine="0"/>
                      <w:jc w:val="left"/>
                      <w:rPr>
                        <w:sz w:val="24"/>
                      </w:rPr>
                    </w:pPr>
                    <w:r>
                      <w:rPr>
                        <w:sz w:val="22"/>
                      </w:rPr>
                      <w:t>Yulianti</w:t>
                    </w:r>
                    <w:r>
                      <w:rPr>
                        <w:spacing w:val="-7"/>
                        <w:sz w:val="22"/>
                      </w:rPr>
                      <w:t> </w:t>
                    </w:r>
                    <w:r>
                      <w:rPr>
                        <w:sz w:val="22"/>
                      </w:rPr>
                      <w:t>Tan</w:t>
                    </w:r>
                    <w:r>
                      <w:rPr>
                        <w:spacing w:val="-6"/>
                        <w:sz w:val="22"/>
                      </w:rPr>
                      <w:t> </w:t>
                    </w:r>
                    <w:r>
                      <w:rPr>
                        <w:sz w:val="24"/>
                      </w:rPr>
                      <w:t>dan</w:t>
                    </w:r>
                    <w:r>
                      <w:rPr>
                        <w:spacing w:val="-3"/>
                        <w:sz w:val="24"/>
                      </w:rPr>
                      <w:t> </w:t>
                    </w:r>
                    <w:r>
                      <w:rPr>
                        <w:sz w:val="24"/>
                      </w:rPr>
                      <w:t>Dewi</w:t>
                    </w:r>
                    <w:r>
                      <w:rPr>
                        <w:spacing w:val="-1"/>
                        <w:sz w:val="24"/>
                      </w:rPr>
                      <w:t> </w:t>
                    </w:r>
                    <w:r>
                      <w:rPr>
                        <w:spacing w:val="-5"/>
                        <w:sz w:val="24"/>
                      </w:rPr>
                      <w:t>Sri</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51" w:hanging="284"/>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1639" w:hanging="284"/>
      </w:pPr>
      <w:rPr>
        <w:rFonts w:hint="default"/>
        <w:lang w:val="id" w:eastAsia="en-US" w:bidi="ar-SA"/>
      </w:rPr>
    </w:lvl>
    <w:lvl w:ilvl="2">
      <w:start w:val="0"/>
      <w:numFmt w:val="bullet"/>
      <w:lvlText w:val="•"/>
      <w:lvlJc w:val="left"/>
      <w:pPr>
        <w:ind w:left="2418" w:hanging="284"/>
      </w:pPr>
      <w:rPr>
        <w:rFonts w:hint="default"/>
        <w:lang w:val="id" w:eastAsia="en-US" w:bidi="ar-SA"/>
      </w:rPr>
    </w:lvl>
    <w:lvl w:ilvl="3">
      <w:start w:val="0"/>
      <w:numFmt w:val="bullet"/>
      <w:lvlText w:val="•"/>
      <w:lvlJc w:val="left"/>
      <w:pPr>
        <w:ind w:left="3197" w:hanging="284"/>
      </w:pPr>
      <w:rPr>
        <w:rFonts w:hint="default"/>
        <w:lang w:val="id" w:eastAsia="en-US" w:bidi="ar-SA"/>
      </w:rPr>
    </w:lvl>
    <w:lvl w:ilvl="4">
      <w:start w:val="0"/>
      <w:numFmt w:val="bullet"/>
      <w:lvlText w:val="•"/>
      <w:lvlJc w:val="left"/>
      <w:pPr>
        <w:ind w:left="3976" w:hanging="284"/>
      </w:pPr>
      <w:rPr>
        <w:rFonts w:hint="default"/>
        <w:lang w:val="id" w:eastAsia="en-US" w:bidi="ar-SA"/>
      </w:rPr>
    </w:lvl>
    <w:lvl w:ilvl="5">
      <w:start w:val="0"/>
      <w:numFmt w:val="bullet"/>
      <w:lvlText w:val="•"/>
      <w:lvlJc w:val="left"/>
      <w:pPr>
        <w:ind w:left="4755" w:hanging="284"/>
      </w:pPr>
      <w:rPr>
        <w:rFonts w:hint="default"/>
        <w:lang w:val="id" w:eastAsia="en-US" w:bidi="ar-SA"/>
      </w:rPr>
    </w:lvl>
    <w:lvl w:ilvl="6">
      <w:start w:val="0"/>
      <w:numFmt w:val="bullet"/>
      <w:lvlText w:val="•"/>
      <w:lvlJc w:val="left"/>
      <w:pPr>
        <w:ind w:left="5534" w:hanging="284"/>
      </w:pPr>
      <w:rPr>
        <w:rFonts w:hint="default"/>
        <w:lang w:val="id" w:eastAsia="en-US" w:bidi="ar-SA"/>
      </w:rPr>
    </w:lvl>
    <w:lvl w:ilvl="7">
      <w:start w:val="0"/>
      <w:numFmt w:val="bullet"/>
      <w:lvlText w:val="•"/>
      <w:lvlJc w:val="left"/>
      <w:pPr>
        <w:ind w:left="6313" w:hanging="284"/>
      </w:pPr>
      <w:rPr>
        <w:rFonts w:hint="default"/>
        <w:lang w:val="id" w:eastAsia="en-US" w:bidi="ar-SA"/>
      </w:rPr>
    </w:lvl>
    <w:lvl w:ilvl="8">
      <w:start w:val="0"/>
      <w:numFmt w:val="bullet"/>
      <w:lvlText w:val="•"/>
      <w:lvlJc w:val="left"/>
      <w:pPr>
        <w:ind w:left="7092" w:hanging="284"/>
      </w:pPr>
      <w:rPr>
        <w:rFonts w:hint="default"/>
        <w:lang w:val="id" w:eastAsia="en-US" w:bidi="ar-SA"/>
      </w:rPr>
    </w:lvl>
  </w:abstractNum>
  <w:abstractNum w:abstractNumId="1">
    <w:multiLevelType w:val="hybridMultilevel"/>
    <w:lvl w:ilvl="0">
      <w:start w:val="1"/>
      <w:numFmt w:val="decimal"/>
      <w:lvlText w:val="%1."/>
      <w:lvlJc w:val="left"/>
      <w:pPr>
        <w:ind w:left="851" w:hanging="284"/>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1639" w:hanging="284"/>
      </w:pPr>
      <w:rPr>
        <w:rFonts w:hint="default"/>
        <w:lang w:val="id" w:eastAsia="en-US" w:bidi="ar-SA"/>
      </w:rPr>
    </w:lvl>
    <w:lvl w:ilvl="2">
      <w:start w:val="0"/>
      <w:numFmt w:val="bullet"/>
      <w:lvlText w:val="•"/>
      <w:lvlJc w:val="left"/>
      <w:pPr>
        <w:ind w:left="2418" w:hanging="284"/>
      </w:pPr>
      <w:rPr>
        <w:rFonts w:hint="default"/>
        <w:lang w:val="id" w:eastAsia="en-US" w:bidi="ar-SA"/>
      </w:rPr>
    </w:lvl>
    <w:lvl w:ilvl="3">
      <w:start w:val="0"/>
      <w:numFmt w:val="bullet"/>
      <w:lvlText w:val="•"/>
      <w:lvlJc w:val="left"/>
      <w:pPr>
        <w:ind w:left="3197" w:hanging="284"/>
      </w:pPr>
      <w:rPr>
        <w:rFonts w:hint="default"/>
        <w:lang w:val="id" w:eastAsia="en-US" w:bidi="ar-SA"/>
      </w:rPr>
    </w:lvl>
    <w:lvl w:ilvl="4">
      <w:start w:val="0"/>
      <w:numFmt w:val="bullet"/>
      <w:lvlText w:val="•"/>
      <w:lvlJc w:val="left"/>
      <w:pPr>
        <w:ind w:left="3976" w:hanging="284"/>
      </w:pPr>
      <w:rPr>
        <w:rFonts w:hint="default"/>
        <w:lang w:val="id" w:eastAsia="en-US" w:bidi="ar-SA"/>
      </w:rPr>
    </w:lvl>
    <w:lvl w:ilvl="5">
      <w:start w:val="0"/>
      <w:numFmt w:val="bullet"/>
      <w:lvlText w:val="•"/>
      <w:lvlJc w:val="left"/>
      <w:pPr>
        <w:ind w:left="4755" w:hanging="284"/>
      </w:pPr>
      <w:rPr>
        <w:rFonts w:hint="default"/>
        <w:lang w:val="id" w:eastAsia="en-US" w:bidi="ar-SA"/>
      </w:rPr>
    </w:lvl>
    <w:lvl w:ilvl="6">
      <w:start w:val="0"/>
      <w:numFmt w:val="bullet"/>
      <w:lvlText w:val="•"/>
      <w:lvlJc w:val="left"/>
      <w:pPr>
        <w:ind w:left="5534" w:hanging="284"/>
      </w:pPr>
      <w:rPr>
        <w:rFonts w:hint="default"/>
        <w:lang w:val="id" w:eastAsia="en-US" w:bidi="ar-SA"/>
      </w:rPr>
    </w:lvl>
    <w:lvl w:ilvl="7">
      <w:start w:val="0"/>
      <w:numFmt w:val="bullet"/>
      <w:lvlText w:val="•"/>
      <w:lvlJc w:val="left"/>
      <w:pPr>
        <w:ind w:left="6313" w:hanging="284"/>
      </w:pPr>
      <w:rPr>
        <w:rFonts w:hint="default"/>
        <w:lang w:val="id" w:eastAsia="en-US" w:bidi="ar-SA"/>
      </w:rPr>
    </w:lvl>
    <w:lvl w:ilvl="8">
      <w:start w:val="0"/>
      <w:numFmt w:val="bullet"/>
      <w:lvlText w:val="•"/>
      <w:lvlJc w:val="left"/>
      <w:pPr>
        <w:ind w:left="7092" w:hanging="284"/>
      </w:pPr>
      <w:rPr>
        <w:rFonts w:hint="default"/>
        <w:lang w:val="id" w:eastAsia="en-US" w:bidi="ar-SA"/>
      </w:rPr>
    </w:lvl>
  </w:abstractNum>
  <w:abstractNum w:abstractNumId="0">
    <w:multiLevelType w:val="hybridMultilevel"/>
    <w:lvl w:ilvl="0">
      <w:start w:val="1"/>
      <w:numFmt w:val="lowerLetter"/>
      <w:lvlText w:val="%1."/>
      <w:lvlJc w:val="left"/>
      <w:pPr>
        <w:ind w:left="851" w:hanging="284"/>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decimal"/>
      <w:lvlText w:val="%2."/>
      <w:lvlJc w:val="left"/>
      <w:pPr>
        <w:ind w:left="1357" w:hanging="593"/>
        <w:jc w:val="left"/>
      </w:pPr>
      <w:rPr>
        <w:rFonts w:hint="default" w:ascii="Times New Roman" w:hAnsi="Times New Roman" w:eastAsia="Times New Roman" w:cs="Times New Roman"/>
        <w:b/>
        <w:bCs/>
        <w:i w:val="0"/>
        <w:iCs w:val="0"/>
        <w:spacing w:val="-3"/>
        <w:w w:val="100"/>
        <w:sz w:val="24"/>
        <w:szCs w:val="24"/>
        <w:lang w:val="id" w:eastAsia="en-US" w:bidi="ar-SA"/>
      </w:rPr>
    </w:lvl>
    <w:lvl w:ilvl="2">
      <w:start w:val="0"/>
      <w:numFmt w:val="bullet"/>
      <w:lvlText w:val="•"/>
      <w:lvlJc w:val="left"/>
      <w:pPr>
        <w:ind w:left="1581" w:hanging="593"/>
      </w:pPr>
      <w:rPr>
        <w:rFonts w:hint="default"/>
        <w:lang w:val="id" w:eastAsia="en-US" w:bidi="ar-SA"/>
      </w:rPr>
    </w:lvl>
    <w:lvl w:ilvl="3">
      <w:start w:val="0"/>
      <w:numFmt w:val="bullet"/>
      <w:lvlText w:val="•"/>
      <w:lvlJc w:val="left"/>
      <w:pPr>
        <w:ind w:left="1802" w:hanging="593"/>
      </w:pPr>
      <w:rPr>
        <w:rFonts w:hint="default"/>
        <w:lang w:val="id" w:eastAsia="en-US" w:bidi="ar-SA"/>
      </w:rPr>
    </w:lvl>
    <w:lvl w:ilvl="4">
      <w:start w:val="0"/>
      <w:numFmt w:val="bullet"/>
      <w:lvlText w:val="•"/>
      <w:lvlJc w:val="left"/>
      <w:pPr>
        <w:ind w:left="2024" w:hanging="593"/>
      </w:pPr>
      <w:rPr>
        <w:rFonts w:hint="default"/>
        <w:lang w:val="id" w:eastAsia="en-US" w:bidi="ar-SA"/>
      </w:rPr>
    </w:lvl>
    <w:lvl w:ilvl="5">
      <w:start w:val="0"/>
      <w:numFmt w:val="bullet"/>
      <w:lvlText w:val="•"/>
      <w:lvlJc w:val="left"/>
      <w:pPr>
        <w:ind w:left="2245" w:hanging="593"/>
      </w:pPr>
      <w:rPr>
        <w:rFonts w:hint="default"/>
        <w:lang w:val="id" w:eastAsia="en-US" w:bidi="ar-SA"/>
      </w:rPr>
    </w:lvl>
    <w:lvl w:ilvl="6">
      <w:start w:val="0"/>
      <w:numFmt w:val="bullet"/>
      <w:lvlText w:val="•"/>
      <w:lvlJc w:val="left"/>
      <w:pPr>
        <w:ind w:left="2467" w:hanging="593"/>
      </w:pPr>
      <w:rPr>
        <w:rFonts w:hint="default"/>
        <w:lang w:val="id" w:eastAsia="en-US" w:bidi="ar-SA"/>
      </w:rPr>
    </w:lvl>
    <w:lvl w:ilvl="7">
      <w:start w:val="0"/>
      <w:numFmt w:val="bullet"/>
      <w:lvlText w:val="•"/>
      <w:lvlJc w:val="left"/>
      <w:pPr>
        <w:ind w:left="2688" w:hanging="593"/>
      </w:pPr>
      <w:rPr>
        <w:rFonts w:hint="default"/>
        <w:lang w:val="id" w:eastAsia="en-US" w:bidi="ar-SA"/>
      </w:rPr>
    </w:lvl>
    <w:lvl w:ilvl="8">
      <w:start w:val="0"/>
      <w:numFmt w:val="bullet"/>
      <w:lvlText w:val="•"/>
      <w:lvlJc w:val="left"/>
      <w:pPr>
        <w:ind w:left="2910" w:hanging="593"/>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0" w:line="270" w:lineRule="exact"/>
      <w:ind w:left="1357" w:hanging="590"/>
    </w:pPr>
    <w:rPr>
      <w:rFonts w:ascii="Times New Roman" w:hAnsi="Times New Roman" w:eastAsia="Times New Roman" w:cs="Times New Roman"/>
      <w:sz w:val="24"/>
      <w:szCs w:val="24"/>
      <w:lang w:val="id" w:eastAsia="en-US" w:bidi="ar-SA"/>
    </w:rPr>
  </w:style>
  <w:style w:styleId="TOC2" w:type="paragraph">
    <w:name w:val="TOC 2"/>
    <w:basedOn w:val="Normal"/>
    <w:uiPriority w:val="1"/>
    <w:qFormat/>
    <w:pPr>
      <w:spacing w:before="12"/>
      <w:ind w:left="1372"/>
    </w:pPr>
    <w:rPr>
      <w:rFonts w:ascii="Times New Roman" w:hAnsi="Times New Roman" w:eastAsia="Times New Roman" w:cs="Times New Roman"/>
      <w:b/>
      <w:bCs/>
      <w:sz w:val="24"/>
      <w:szCs w:val="24"/>
      <w:lang w:val="id" w:eastAsia="en-US" w:bidi="ar-SA"/>
    </w:rPr>
  </w:style>
  <w:style w:styleId="TOC3" w:type="paragraph">
    <w:name w:val="TOC 3"/>
    <w:basedOn w:val="Normal"/>
    <w:uiPriority w:val="1"/>
    <w:qFormat/>
    <w:pPr>
      <w:spacing w:line="270" w:lineRule="exact"/>
      <w:ind w:left="1357"/>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568"/>
      <w:jc w:val="both"/>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568"/>
      <w:jc w:val="both"/>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851" w:hanging="283"/>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mailto:yuliantitan878@gmail.com" TargetMode="External"/><Relationship Id="rId8" Type="http://schemas.openxmlformats.org/officeDocument/2006/relationships/hyperlink" Target="mailto:dewi_sri@ukmc.ac.id" TargetMode="Externa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hyperlink" Target="https://doi.org/10.61978/moneta.v3i4.726" TargetMode="External"/><Relationship Id="rId18" Type="http://schemas.openxmlformats.org/officeDocument/2006/relationships/hyperlink" Target="https://www.liputan6.com/saham/read/%20n" TargetMode="External"/><Relationship Id="rId19" Type="http://schemas.openxmlformats.org/officeDocument/2006/relationships/hyperlink" Target="https://doi.org/10.55606/jimek.v5i3.8156" TargetMode="External"/><Relationship Id="rId20" Type="http://schemas.openxmlformats.org/officeDocument/2006/relationships/hyperlink" Target="https://doi.org/10.2307/1882010" TargetMode="External"/><Relationship Id="rId21" Type="http://schemas.openxmlformats.org/officeDocument/2006/relationships/hyperlink" Target="https://digilib.stekom.ac.id/assets/dokumen/ebook/feb_35efe6a47227d6031a75569c2f3f39d44fe2db43_1652079047.pdf" TargetMode="External"/><Relationship Id="rId22" Type="http://schemas.openxmlformats.org/officeDocument/2006/relationships/hyperlink" Target="https://teknologi.bisnis.com/read/"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2026-08-09T06:20:54Z</dcterms:created>
  <dcterms:modified xsi:type="dcterms:W3CDTF">2026-08-09T06:20:54Z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2026-08-09T00:00:00Z</vt:filetime>
  </property>
  <property fmtid="{D5CDD505-2E9C-101B-9397-08002B2CF9AE}" pid="4" name="LastSaved">
    <vt:filetime>2026-08-09T00:00:00Z</vt:filetime>
  </property>
  <property fmtid="{D5CDD505-2E9C-101B-9397-08002B2CF9AE}" pid="5" name="Producer">
    <vt:lpwstr>iLovePDF</vt:lpwstr>
  </property>
</Properties>
</file>